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D43F" w14:textId="41223446" w:rsidR="007C319F" w:rsidRPr="00FC109D" w:rsidRDefault="006F5EE4" w:rsidP="006F5EE4">
      <w:pPr>
        <w:jc w:val="center"/>
        <w:rPr>
          <w:rFonts w:ascii="Times New Roman" w:hAnsi="Times New Roman" w:cs="Times New Roman"/>
          <w:b/>
          <w:color w:val="000000"/>
          <w:sz w:val="28"/>
          <w:szCs w:val="24"/>
          <w:lang w:val="ro-MD"/>
        </w:rPr>
      </w:pPr>
      <w:r w:rsidRPr="00FC109D">
        <w:rPr>
          <w:rFonts w:ascii="Times New Roman" w:hAnsi="Times New Roman" w:cs="Times New Roman"/>
          <w:b/>
          <w:color w:val="000000"/>
          <w:sz w:val="28"/>
          <w:szCs w:val="24"/>
          <w:lang w:val="ro-MD"/>
        </w:rPr>
        <w:t>Proiectul</w:t>
      </w:r>
      <w:r w:rsidR="00103B74" w:rsidRPr="00FC109D">
        <w:rPr>
          <w:rFonts w:ascii="Times New Roman" w:hAnsi="Times New Roman" w:cs="Times New Roman"/>
          <w:b/>
          <w:color w:val="000000"/>
          <w:sz w:val="28"/>
          <w:szCs w:val="24"/>
          <w:lang w:val="ro-MD"/>
        </w:rPr>
        <w:t xml:space="preserve"> </w:t>
      </w:r>
      <w:r w:rsidR="00F323A9" w:rsidRPr="00FC109D">
        <w:rPr>
          <w:rFonts w:ascii="Times New Roman" w:hAnsi="Times New Roman" w:cs="Times New Roman"/>
          <w:b/>
          <w:color w:val="000000"/>
          <w:sz w:val="28"/>
          <w:szCs w:val="24"/>
          <w:lang w:val="ro-MD"/>
        </w:rPr>
        <w:t xml:space="preserve">Băncii Mondiale </w:t>
      </w:r>
      <w:r w:rsidR="00103B74" w:rsidRPr="00FC109D">
        <w:rPr>
          <w:rFonts w:ascii="Times New Roman" w:hAnsi="Times New Roman" w:cs="Times New Roman"/>
          <w:b/>
          <w:color w:val="000000"/>
          <w:sz w:val="28"/>
          <w:szCs w:val="24"/>
          <w:lang w:val="ro-MD"/>
        </w:rPr>
        <w:t xml:space="preserve">Ameliorarea Competitivității </w:t>
      </w:r>
    </w:p>
    <w:p w14:paraId="0CC33182" w14:textId="77777777" w:rsidR="00103B74" w:rsidRPr="00FC109D" w:rsidRDefault="00103B74" w:rsidP="006F5EE4">
      <w:pPr>
        <w:jc w:val="center"/>
        <w:rPr>
          <w:rFonts w:ascii="Times New Roman" w:hAnsi="Times New Roman" w:cs="Times New Roman"/>
          <w:b/>
          <w:color w:val="000000"/>
          <w:lang w:val="ro-MD"/>
        </w:rPr>
      </w:pPr>
    </w:p>
    <w:p w14:paraId="77D99C2C" w14:textId="77777777" w:rsidR="006F5EE4" w:rsidRPr="00FC109D" w:rsidRDefault="006F5EE4" w:rsidP="006F5EE4">
      <w:pPr>
        <w:jc w:val="center"/>
        <w:rPr>
          <w:rFonts w:ascii="Times New Roman" w:hAnsi="Times New Roman" w:cs="Times New Roman"/>
          <w:b/>
          <w:lang w:val="ro-MD"/>
        </w:rPr>
      </w:pPr>
    </w:p>
    <w:p w14:paraId="724948C1" w14:textId="77777777" w:rsidR="006F5EE4" w:rsidRPr="00FC109D" w:rsidRDefault="006F5EE4" w:rsidP="006F5EE4">
      <w:pPr>
        <w:jc w:val="center"/>
        <w:rPr>
          <w:rFonts w:ascii="Times New Roman" w:hAnsi="Times New Roman" w:cs="Times New Roman"/>
          <w:b/>
          <w:lang w:val="ro-MD"/>
        </w:rPr>
      </w:pPr>
    </w:p>
    <w:p w14:paraId="00790F3A" w14:textId="77777777" w:rsidR="006F5EE4" w:rsidRPr="00FC109D" w:rsidRDefault="006F5EE4" w:rsidP="006F5EE4">
      <w:pPr>
        <w:jc w:val="center"/>
        <w:rPr>
          <w:rFonts w:ascii="Times New Roman" w:hAnsi="Times New Roman" w:cs="Times New Roman"/>
          <w:b/>
          <w:lang w:val="ro-MD"/>
        </w:rPr>
      </w:pPr>
    </w:p>
    <w:p w14:paraId="4704F608" w14:textId="77777777" w:rsidR="00662C3E" w:rsidRPr="00FC109D" w:rsidRDefault="00662C3E" w:rsidP="006F5EE4">
      <w:pPr>
        <w:jc w:val="center"/>
        <w:rPr>
          <w:rFonts w:ascii="Times New Roman" w:hAnsi="Times New Roman" w:cs="Times New Roman"/>
          <w:b/>
          <w:lang w:val="ro-MD"/>
        </w:rPr>
      </w:pPr>
    </w:p>
    <w:p w14:paraId="245F5F49" w14:textId="77777777" w:rsidR="00662C3E" w:rsidRPr="00FC109D" w:rsidRDefault="00662C3E" w:rsidP="006F5EE4">
      <w:pPr>
        <w:jc w:val="center"/>
        <w:rPr>
          <w:rFonts w:ascii="Times New Roman" w:hAnsi="Times New Roman" w:cs="Times New Roman"/>
          <w:b/>
          <w:lang w:val="ro-MD"/>
        </w:rPr>
      </w:pPr>
    </w:p>
    <w:p w14:paraId="79D726D8" w14:textId="77777777" w:rsidR="00662C3E" w:rsidRPr="00FC109D" w:rsidRDefault="00662C3E" w:rsidP="006F5EE4">
      <w:pPr>
        <w:jc w:val="center"/>
        <w:rPr>
          <w:rFonts w:ascii="Times New Roman" w:hAnsi="Times New Roman" w:cs="Times New Roman"/>
          <w:b/>
          <w:lang w:val="ro-MD"/>
        </w:rPr>
      </w:pPr>
    </w:p>
    <w:p w14:paraId="4DFA1691" w14:textId="77777777" w:rsidR="00662C3E" w:rsidRPr="00FC109D" w:rsidRDefault="00662C3E" w:rsidP="006F5EE4">
      <w:pPr>
        <w:jc w:val="center"/>
        <w:rPr>
          <w:rFonts w:ascii="Times New Roman" w:hAnsi="Times New Roman" w:cs="Times New Roman"/>
          <w:b/>
          <w:lang w:val="ro-MD"/>
        </w:rPr>
      </w:pPr>
    </w:p>
    <w:p w14:paraId="0E409A50" w14:textId="77777777" w:rsidR="00662C3E" w:rsidRPr="00FC109D" w:rsidRDefault="00662C3E" w:rsidP="006F5EE4">
      <w:pPr>
        <w:jc w:val="center"/>
        <w:rPr>
          <w:rFonts w:ascii="Times New Roman" w:hAnsi="Times New Roman" w:cs="Times New Roman"/>
          <w:b/>
          <w:sz w:val="32"/>
          <w:szCs w:val="32"/>
          <w:lang w:val="ro-MD"/>
        </w:rPr>
      </w:pPr>
    </w:p>
    <w:p w14:paraId="5F6C962C" w14:textId="77777777" w:rsidR="00662C3E" w:rsidRPr="00FC109D" w:rsidRDefault="00662C3E" w:rsidP="006F5EE4">
      <w:pPr>
        <w:jc w:val="center"/>
        <w:rPr>
          <w:rFonts w:ascii="Times New Roman" w:hAnsi="Times New Roman" w:cs="Times New Roman"/>
          <w:b/>
          <w:sz w:val="32"/>
          <w:szCs w:val="32"/>
          <w:lang w:val="ro-MD"/>
        </w:rPr>
      </w:pPr>
    </w:p>
    <w:p w14:paraId="374EF9AE" w14:textId="63CA0F24" w:rsidR="00103B74" w:rsidRPr="00FC109D" w:rsidRDefault="00103B74" w:rsidP="006F5EE4">
      <w:pPr>
        <w:jc w:val="center"/>
        <w:rPr>
          <w:rFonts w:ascii="Times New Roman" w:hAnsi="Times New Roman" w:cs="Times New Roman"/>
          <w:b/>
          <w:sz w:val="32"/>
          <w:szCs w:val="32"/>
          <w:lang w:val="ro-MD"/>
        </w:rPr>
      </w:pPr>
      <w:r w:rsidRPr="00FC109D">
        <w:rPr>
          <w:rFonts w:ascii="Times New Roman" w:hAnsi="Times New Roman" w:cs="Times New Roman"/>
          <w:b/>
          <w:sz w:val="32"/>
          <w:szCs w:val="32"/>
          <w:lang w:val="ro-MD"/>
        </w:rPr>
        <w:t>RAPORT</w:t>
      </w:r>
      <w:r w:rsidR="00662C3E" w:rsidRPr="00FC109D">
        <w:rPr>
          <w:rFonts w:ascii="Times New Roman" w:hAnsi="Times New Roman" w:cs="Times New Roman"/>
          <w:b/>
          <w:sz w:val="32"/>
          <w:szCs w:val="32"/>
          <w:lang w:val="ro-MD"/>
        </w:rPr>
        <w:t xml:space="preserve"> INTERMEDIAR</w:t>
      </w:r>
    </w:p>
    <w:p w14:paraId="6BCD5D8D" w14:textId="63A4DED1" w:rsidR="00103B74" w:rsidRPr="00FC109D" w:rsidRDefault="00103B74" w:rsidP="006F5EE4">
      <w:pPr>
        <w:jc w:val="center"/>
        <w:rPr>
          <w:rFonts w:ascii="Times New Roman" w:hAnsi="Times New Roman" w:cs="Times New Roman"/>
          <w:b/>
          <w:lang w:val="ro-MD"/>
        </w:rPr>
      </w:pPr>
      <w:r w:rsidRPr="00FC109D">
        <w:rPr>
          <w:rFonts w:ascii="Times New Roman" w:hAnsi="Times New Roman" w:cs="Times New Roman"/>
          <w:b/>
          <w:sz w:val="32"/>
          <w:szCs w:val="32"/>
          <w:lang w:val="ro-MD"/>
        </w:rPr>
        <w:t>cu privire la sta</w:t>
      </w:r>
      <w:r w:rsidR="00662C3E" w:rsidRPr="00FC109D">
        <w:rPr>
          <w:rFonts w:ascii="Times New Roman" w:hAnsi="Times New Roman" w:cs="Times New Roman"/>
          <w:b/>
          <w:sz w:val="32"/>
          <w:szCs w:val="32"/>
          <w:lang w:val="ro-MD"/>
        </w:rPr>
        <w:t>tutul</w:t>
      </w:r>
      <w:r w:rsidRPr="00FC109D">
        <w:rPr>
          <w:rFonts w:ascii="Times New Roman" w:hAnsi="Times New Roman" w:cs="Times New Roman"/>
          <w:b/>
          <w:sz w:val="32"/>
          <w:szCs w:val="32"/>
          <w:lang w:val="ro-MD"/>
        </w:rPr>
        <w:t xml:space="preserve"> activităților din cadrul proiectului</w:t>
      </w:r>
    </w:p>
    <w:p w14:paraId="408AE628" w14:textId="77777777" w:rsidR="00103B74" w:rsidRPr="00FC109D" w:rsidRDefault="00103B74" w:rsidP="00103B74">
      <w:pPr>
        <w:jc w:val="center"/>
        <w:rPr>
          <w:rFonts w:ascii="Times New Roman" w:hAnsi="Times New Roman" w:cs="Times New Roman"/>
          <w:lang w:val="ro-MD"/>
        </w:rPr>
      </w:pPr>
    </w:p>
    <w:p w14:paraId="2BAC50CB" w14:textId="77777777" w:rsidR="00103B74" w:rsidRPr="00FC109D" w:rsidRDefault="00103B74" w:rsidP="00103B74">
      <w:pPr>
        <w:jc w:val="center"/>
        <w:rPr>
          <w:rFonts w:ascii="Times New Roman" w:hAnsi="Times New Roman" w:cs="Times New Roman"/>
          <w:lang w:val="ro-MD"/>
        </w:rPr>
      </w:pPr>
    </w:p>
    <w:p w14:paraId="0CA4416F" w14:textId="77777777" w:rsidR="00103B74" w:rsidRPr="00FC109D" w:rsidRDefault="00103B74" w:rsidP="00103B74">
      <w:pPr>
        <w:jc w:val="center"/>
        <w:rPr>
          <w:rFonts w:ascii="Times New Roman" w:hAnsi="Times New Roman" w:cs="Times New Roman"/>
          <w:lang w:val="ro-MD"/>
        </w:rPr>
      </w:pPr>
    </w:p>
    <w:p w14:paraId="146EEFF5" w14:textId="77777777" w:rsidR="00103B74" w:rsidRPr="00FC109D" w:rsidRDefault="00103B74" w:rsidP="00103B74">
      <w:pPr>
        <w:jc w:val="center"/>
        <w:rPr>
          <w:rFonts w:ascii="Times New Roman" w:hAnsi="Times New Roman" w:cs="Times New Roman"/>
          <w:lang w:val="ro-MD"/>
        </w:rPr>
      </w:pPr>
    </w:p>
    <w:p w14:paraId="7EF8390E" w14:textId="77777777" w:rsidR="00103B74" w:rsidRPr="00FC109D" w:rsidRDefault="00103B74" w:rsidP="00103B74">
      <w:pPr>
        <w:jc w:val="center"/>
        <w:rPr>
          <w:rFonts w:ascii="Times New Roman" w:hAnsi="Times New Roman" w:cs="Times New Roman"/>
          <w:lang w:val="ro-MD"/>
        </w:rPr>
      </w:pPr>
    </w:p>
    <w:p w14:paraId="13B1D0FD" w14:textId="77777777" w:rsidR="00103B74" w:rsidRPr="00FC109D" w:rsidRDefault="00103B74" w:rsidP="00103B74">
      <w:pPr>
        <w:jc w:val="center"/>
        <w:rPr>
          <w:rFonts w:ascii="Times New Roman" w:hAnsi="Times New Roman" w:cs="Times New Roman"/>
          <w:lang w:val="ro-MD"/>
        </w:rPr>
      </w:pPr>
    </w:p>
    <w:p w14:paraId="27AB39FA" w14:textId="77777777" w:rsidR="00103B74" w:rsidRPr="00FC109D" w:rsidRDefault="00103B74" w:rsidP="00103B74">
      <w:pPr>
        <w:jc w:val="center"/>
        <w:rPr>
          <w:rFonts w:ascii="Times New Roman" w:hAnsi="Times New Roman" w:cs="Times New Roman"/>
          <w:lang w:val="ro-MD"/>
        </w:rPr>
      </w:pPr>
    </w:p>
    <w:p w14:paraId="6EDBEAE8" w14:textId="77777777" w:rsidR="00103B74" w:rsidRPr="00FC109D" w:rsidRDefault="00103B74" w:rsidP="00103B74">
      <w:pPr>
        <w:jc w:val="center"/>
        <w:rPr>
          <w:rFonts w:ascii="Times New Roman" w:hAnsi="Times New Roman" w:cs="Times New Roman"/>
          <w:lang w:val="ro-MD"/>
        </w:rPr>
      </w:pPr>
    </w:p>
    <w:p w14:paraId="05CFC43D" w14:textId="77777777" w:rsidR="00103B74" w:rsidRPr="00FC109D" w:rsidRDefault="00103B74" w:rsidP="00103B74">
      <w:pPr>
        <w:jc w:val="center"/>
        <w:rPr>
          <w:rFonts w:ascii="Times New Roman" w:hAnsi="Times New Roman" w:cs="Times New Roman"/>
          <w:lang w:val="ro-MD"/>
        </w:rPr>
      </w:pPr>
    </w:p>
    <w:p w14:paraId="0EA818AD" w14:textId="77777777" w:rsidR="00103B74" w:rsidRPr="00FC109D" w:rsidRDefault="00103B74" w:rsidP="00103B74">
      <w:pPr>
        <w:jc w:val="center"/>
        <w:rPr>
          <w:rFonts w:ascii="Times New Roman" w:hAnsi="Times New Roman" w:cs="Times New Roman"/>
          <w:lang w:val="ro-MD"/>
        </w:rPr>
      </w:pPr>
    </w:p>
    <w:p w14:paraId="61C76762" w14:textId="77777777" w:rsidR="00103B74" w:rsidRPr="00FC109D" w:rsidRDefault="00103B74" w:rsidP="00103B74">
      <w:pPr>
        <w:jc w:val="center"/>
        <w:rPr>
          <w:rFonts w:ascii="Times New Roman" w:hAnsi="Times New Roman" w:cs="Times New Roman"/>
          <w:lang w:val="ro-MD"/>
        </w:rPr>
      </w:pPr>
    </w:p>
    <w:p w14:paraId="39D5FFD5" w14:textId="77777777" w:rsidR="00103B74" w:rsidRPr="00FC109D" w:rsidRDefault="00103B74" w:rsidP="00103B74">
      <w:pPr>
        <w:jc w:val="center"/>
        <w:rPr>
          <w:rFonts w:ascii="Times New Roman" w:hAnsi="Times New Roman" w:cs="Times New Roman"/>
          <w:lang w:val="ro-MD"/>
        </w:rPr>
      </w:pPr>
    </w:p>
    <w:p w14:paraId="5A77F765" w14:textId="77777777" w:rsidR="00103B74" w:rsidRPr="00FC109D" w:rsidRDefault="00103B74" w:rsidP="00103B74">
      <w:pPr>
        <w:jc w:val="center"/>
        <w:rPr>
          <w:rFonts w:ascii="Times New Roman" w:hAnsi="Times New Roman" w:cs="Times New Roman"/>
          <w:lang w:val="ro-MD"/>
        </w:rPr>
      </w:pPr>
    </w:p>
    <w:p w14:paraId="475ACEC2" w14:textId="77777777" w:rsidR="00103B74" w:rsidRPr="00FC109D" w:rsidRDefault="00103B74" w:rsidP="00103B74">
      <w:pPr>
        <w:jc w:val="center"/>
        <w:rPr>
          <w:rFonts w:ascii="Times New Roman" w:hAnsi="Times New Roman" w:cs="Times New Roman"/>
          <w:lang w:val="ro-MD"/>
        </w:rPr>
      </w:pPr>
    </w:p>
    <w:p w14:paraId="4A4D8ABC" w14:textId="77777777" w:rsidR="00103B74" w:rsidRPr="00FC109D" w:rsidRDefault="00103B74" w:rsidP="00103B74">
      <w:pPr>
        <w:jc w:val="center"/>
        <w:rPr>
          <w:rFonts w:ascii="Times New Roman" w:hAnsi="Times New Roman" w:cs="Times New Roman"/>
          <w:lang w:val="ro-MD"/>
        </w:rPr>
      </w:pPr>
    </w:p>
    <w:p w14:paraId="3C2498DB" w14:textId="77777777" w:rsidR="00103B74" w:rsidRPr="00FC109D" w:rsidRDefault="00103B74" w:rsidP="00103B74">
      <w:pPr>
        <w:jc w:val="center"/>
        <w:rPr>
          <w:rFonts w:ascii="Times New Roman" w:hAnsi="Times New Roman" w:cs="Times New Roman"/>
          <w:b/>
          <w:lang w:val="ro-MD"/>
        </w:rPr>
      </w:pPr>
      <w:r w:rsidRPr="00FC109D">
        <w:rPr>
          <w:rFonts w:ascii="Times New Roman" w:hAnsi="Times New Roman" w:cs="Times New Roman"/>
          <w:b/>
          <w:lang w:val="ro-MD"/>
        </w:rPr>
        <w:t>Octombrie 2016</w:t>
      </w:r>
    </w:p>
    <w:p w14:paraId="59B3CD44" w14:textId="77777777" w:rsidR="00662C3E" w:rsidRPr="00FC109D" w:rsidRDefault="00662C3E" w:rsidP="00103B74">
      <w:pPr>
        <w:rPr>
          <w:rFonts w:ascii="Times New Roman" w:hAnsi="Times New Roman" w:cs="Times New Roman"/>
          <w:b/>
          <w:u w:val="single"/>
          <w:lang w:val="ro-MD"/>
        </w:rPr>
      </w:pPr>
    </w:p>
    <w:p w14:paraId="61D686D6" w14:textId="77777777" w:rsidR="00662C3E" w:rsidRPr="00FC109D" w:rsidRDefault="00662C3E" w:rsidP="00103B74">
      <w:pPr>
        <w:rPr>
          <w:rFonts w:ascii="Times New Roman" w:hAnsi="Times New Roman" w:cs="Times New Roman"/>
          <w:b/>
          <w:u w:val="single"/>
          <w:lang w:val="ro-MD"/>
        </w:rPr>
      </w:pPr>
    </w:p>
    <w:p w14:paraId="7768428E" w14:textId="77777777" w:rsidR="00F51FA2" w:rsidRPr="00FC109D" w:rsidRDefault="00F51FA2">
      <w:pPr>
        <w:rPr>
          <w:rFonts w:ascii="Times New Roman" w:hAnsi="Times New Roman" w:cs="Times New Roman"/>
          <w:b/>
          <w:u w:val="single"/>
          <w:lang w:val="ro-MD"/>
        </w:rPr>
      </w:pPr>
      <w:r w:rsidRPr="00FC109D">
        <w:rPr>
          <w:rFonts w:ascii="Times New Roman" w:hAnsi="Times New Roman" w:cs="Times New Roman"/>
          <w:b/>
          <w:u w:val="single"/>
          <w:lang w:val="ro-MD"/>
        </w:rPr>
        <w:br w:type="page"/>
      </w:r>
    </w:p>
    <w:p w14:paraId="6308EA5D" w14:textId="32AB79B1" w:rsidR="00103B74" w:rsidRPr="00FC109D" w:rsidRDefault="006F5EE4" w:rsidP="00103B74">
      <w:pPr>
        <w:rPr>
          <w:rFonts w:ascii="Times New Roman" w:hAnsi="Times New Roman" w:cs="Times New Roman"/>
          <w:b/>
          <w:u w:val="single"/>
          <w:lang w:val="ro-MD"/>
        </w:rPr>
      </w:pPr>
      <w:r w:rsidRPr="00FC109D">
        <w:rPr>
          <w:rFonts w:ascii="Times New Roman" w:hAnsi="Times New Roman" w:cs="Times New Roman"/>
          <w:b/>
          <w:u w:val="single"/>
          <w:lang w:val="ro-MD"/>
        </w:rPr>
        <w:lastRenderedPageBreak/>
        <w:t xml:space="preserve">Componenta </w:t>
      </w:r>
      <w:r w:rsidR="00103B74" w:rsidRPr="00FC109D">
        <w:rPr>
          <w:rFonts w:ascii="Times New Roman" w:hAnsi="Times New Roman" w:cs="Times New Roman"/>
          <w:b/>
          <w:u w:val="single"/>
          <w:lang w:val="ro-MD"/>
        </w:rPr>
        <w:t xml:space="preserve">1. Reforma </w:t>
      </w:r>
      <w:proofErr w:type="spellStart"/>
      <w:r w:rsidR="00103B74" w:rsidRPr="00FC109D">
        <w:rPr>
          <w:rFonts w:ascii="Times New Roman" w:hAnsi="Times New Roman" w:cs="Times New Roman"/>
          <w:b/>
          <w:u w:val="single"/>
          <w:lang w:val="ro-MD"/>
        </w:rPr>
        <w:t>regulatorie</w:t>
      </w:r>
      <w:proofErr w:type="spellEnd"/>
    </w:p>
    <w:p w14:paraId="6813E5B2" w14:textId="6F720E4C" w:rsidR="00103B74" w:rsidRPr="00FC109D" w:rsidRDefault="00103B74" w:rsidP="002C7C89">
      <w:pPr>
        <w:jc w:val="both"/>
        <w:rPr>
          <w:rFonts w:ascii="Times New Roman" w:hAnsi="Times New Roman" w:cs="Times New Roman"/>
          <w:lang w:val="ro-MD"/>
        </w:rPr>
      </w:pPr>
      <w:r w:rsidRPr="00FC109D">
        <w:rPr>
          <w:rFonts w:ascii="Times New Roman" w:hAnsi="Times New Roman" w:cs="Times New Roman"/>
          <w:b/>
          <w:lang w:val="ro-MD"/>
        </w:rPr>
        <w:t xml:space="preserve">Indicatorii de performanță </w:t>
      </w:r>
      <w:r w:rsidR="009D38A4" w:rsidRPr="00FC109D">
        <w:rPr>
          <w:rFonts w:ascii="Times New Roman" w:hAnsi="Times New Roman" w:cs="Times New Roman"/>
          <w:b/>
          <w:lang w:val="ro-MD"/>
        </w:rPr>
        <w:t xml:space="preserve">pentru autoritățile publice cu </w:t>
      </w:r>
      <w:r w:rsidRPr="00FC109D">
        <w:rPr>
          <w:rFonts w:ascii="Times New Roman" w:hAnsi="Times New Roman" w:cs="Times New Roman"/>
          <w:b/>
          <w:lang w:val="ro-MD"/>
        </w:rPr>
        <w:t xml:space="preserve"> funcție de reglementare</w:t>
      </w:r>
      <w:r w:rsidRPr="00FC109D">
        <w:rPr>
          <w:rFonts w:ascii="Times New Roman" w:hAnsi="Times New Roman" w:cs="Times New Roman"/>
          <w:lang w:val="ro-MD"/>
        </w:rPr>
        <w:t xml:space="preserve">. Guvernul a adoptat </w:t>
      </w:r>
      <w:r w:rsidR="009D38A4" w:rsidRPr="00FC109D">
        <w:rPr>
          <w:rFonts w:ascii="Times New Roman" w:hAnsi="Times New Roman" w:cs="Times New Roman"/>
          <w:lang w:val="ro-MD"/>
        </w:rPr>
        <w:t xml:space="preserve">o </w:t>
      </w:r>
      <w:r w:rsidR="006F5EE4" w:rsidRPr="00FC109D">
        <w:rPr>
          <w:rFonts w:ascii="Times New Roman" w:hAnsi="Times New Roman" w:cs="Times New Roman"/>
          <w:lang w:val="ro-MD"/>
        </w:rPr>
        <w:t>H</w:t>
      </w:r>
      <w:r w:rsidR="009D38A4" w:rsidRPr="00FC109D">
        <w:rPr>
          <w:rFonts w:ascii="Times New Roman" w:hAnsi="Times New Roman" w:cs="Times New Roman"/>
          <w:lang w:val="ro-MD"/>
        </w:rPr>
        <w:t>otăr</w:t>
      </w:r>
      <w:r w:rsidR="00FB6484" w:rsidRPr="00FC109D">
        <w:rPr>
          <w:rFonts w:ascii="Times New Roman" w:hAnsi="Times New Roman" w:cs="Times New Roman"/>
          <w:lang w:val="ro-MD"/>
        </w:rPr>
        <w:t>â</w:t>
      </w:r>
      <w:r w:rsidR="009D38A4" w:rsidRPr="00FC109D">
        <w:rPr>
          <w:rFonts w:ascii="Times New Roman" w:hAnsi="Times New Roman" w:cs="Times New Roman"/>
          <w:lang w:val="ro-MD"/>
        </w:rPr>
        <w:t>re</w:t>
      </w:r>
      <w:r w:rsidR="006F5EE4" w:rsidRPr="00FC109D">
        <w:rPr>
          <w:rFonts w:ascii="Times New Roman" w:hAnsi="Times New Roman" w:cs="Times New Roman"/>
          <w:lang w:val="ro-MD"/>
        </w:rPr>
        <w:t xml:space="preserve"> </w:t>
      </w:r>
      <w:r w:rsidRPr="00FC109D">
        <w:rPr>
          <w:rFonts w:ascii="Times New Roman" w:hAnsi="Times New Roman" w:cs="Times New Roman"/>
          <w:lang w:val="ro-MD"/>
        </w:rPr>
        <w:t>privind indicatorii de performanță pentru autoritățile publice, care a fost publicat</w:t>
      </w:r>
      <w:r w:rsidR="006F5EE4" w:rsidRPr="00FC109D">
        <w:rPr>
          <w:rFonts w:ascii="Times New Roman" w:hAnsi="Times New Roman" w:cs="Times New Roman"/>
          <w:lang w:val="ro-MD"/>
        </w:rPr>
        <w:t>ă</w:t>
      </w:r>
      <w:r w:rsidRPr="00FC109D">
        <w:rPr>
          <w:rFonts w:ascii="Times New Roman" w:hAnsi="Times New Roman" w:cs="Times New Roman"/>
          <w:lang w:val="ro-MD"/>
        </w:rPr>
        <w:t xml:space="preserve"> la începutul lunii iulie.</w:t>
      </w:r>
      <w:r w:rsidR="009D38A4" w:rsidRPr="00FC109D">
        <w:rPr>
          <w:rFonts w:ascii="Times New Roman" w:hAnsi="Times New Roman" w:cs="Times New Roman"/>
          <w:lang w:val="ro-MD"/>
        </w:rPr>
        <w:t xml:space="preserve"> Ministerul Economiei a colectat informații de referință pentru acești indicatori</w:t>
      </w:r>
      <w:r w:rsidR="00FB6484" w:rsidRPr="00FC109D">
        <w:rPr>
          <w:rFonts w:ascii="Times New Roman" w:hAnsi="Times New Roman" w:cs="Times New Roman"/>
          <w:lang w:val="ro-MD"/>
        </w:rPr>
        <w:t xml:space="preserve">, astfel, </w:t>
      </w:r>
      <w:r w:rsidR="009D38A4" w:rsidRPr="00FC109D">
        <w:rPr>
          <w:rFonts w:ascii="Times New Roman" w:hAnsi="Times New Roman" w:cs="Times New Roman"/>
          <w:lang w:val="ro-MD"/>
        </w:rPr>
        <w:t>sistemul este stabilit</w:t>
      </w:r>
      <w:r w:rsidR="006F5EE4" w:rsidRPr="00FC109D">
        <w:rPr>
          <w:rFonts w:ascii="Times New Roman" w:hAnsi="Times New Roman" w:cs="Times New Roman"/>
          <w:lang w:val="ro-MD"/>
        </w:rPr>
        <w:t xml:space="preserve"> în mod</w:t>
      </w:r>
      <w:r w:rsidR="009D38A4" w:rsidRPr="00FC109D">
        <w:rPr>
          <w:rFonts w:ascii="Times New Roman" w:hAnsi="Times New Roman" w:cs="Times New Roman"/>
          <w:lang w:val="ro-MD"/>
        </w:rPr>
        <w:t xml:space="preserve"> oficial. Consu</w:t>
      </w:r>
      <w:r w:rsidR="00FB6484" w:rsidRPr="00FC109D">
        <w:rPr>
          <w:rFonts w:ascii="Times New Roman" w:hAnsi="Times New Roman" w:cs="Times New Roman"/>
          <w:lang w:val="ro-MD"/>
        </w:rPr>
        <w:t>ltantul (</w:t>
      </w:r>
      <w:proofErr w:type="spellStart"/>
      <w:r w:rsidR="00FB6484" w:rsidRPr="00FC109D">
        <w:rPr>
          <w:rFonts w:ascii="Times New Roman" w:hAnsi="Times New Roman" w:cs="Times New Roman"/>
          <w:lang w:val="ro-MD"/>
        </w:rPr>
        <w:t>Jacobs</w:t>
      </w:r>
      <w:proofErr w:type="spellEnd"/>
      <w:r w:rsidR="00FB6484" w:rsidRPr="00FC109D">
        <w:rPr>
          <w:rFonts w:ascii="Times New Roman" w:hAnsi="Times New Roman" w:cs="Times New Roman"/>
          <w:lang w:val="ro-MD"/>
        </w:rPr>
        <w:t xml:space="preserve"> &amp; </w:t>
      </w:r>
      <w:proofErr w:type="spellStart"/>
      <w:r w:rsidR="00FB6484" w:rsidRPr="00FC109D">
        <w:rPr>
          <w:rFonts w:ascii="Times New Roman" w:hAnsi="Times New Roman" w:cs="Times New Roman"/>
          <w:lang w:val="ro-MD"/>
        </w:rPr>
        <w:t>Associates</w:t>
      </w:r>
      <w:proofErr w:type="spellEnd"/>
      <w:r w:rsidR="00FB6484" w:rsidRPr="00FC109D">
        <w:rPr>
          <w:rFonts w:ascii="Times New Roman" w:hAnsi="Times New Roman" w:cs="Times New Roman"/>
          <w:lang w:val="ro-MD"/>
        </w:rPr>
        <w:t xml:space="preserve">) a efectuat </w:t>
      </w:r>
      <w:r w:rsidR="009D38A4" w:rsidRPr="00FC109D">
        <w:rPr>
          <w:rFonts w:ascii="Times New Roman" w:hAnsi="Times New Roman" w:cs="Times New Roman"/>
          <w:lang w:val="ro-MD"/>
        </w:rPr>
        <w:t xml:space="preserve">o prezentare </w:t>
      </w:r>
      <w:r w:rsidR="00FB6484" w:rsidRPr="00FC109D">
        <w:rPr>
          <w:rFonts w:ascii="Times New Roman" w:hAnsi="Times New Roman" w:cs="Times New Roman"/>
          <w:lang w:val="ro-MD"/>
        </w:rPr>
        <w:t xml:space="preserve">publica la </w:t>
      </w:r>
      <w:r w:rsidR="009D38A4" w:rsidRPr="00FC109D">
        <w:rPr>
          <w:rFonts w:ascii="Times New Roman" w:hAnsi="Times New Roman" w:cs="Times New Roman"/>
          <w:lang w:val="ro-MD"/>
        </w:rPr>
        <w:t>Ministerului Economiei cu privire la rezultatele sondajului, precum și</w:t>
      </w:r>
      <w:r w:rsidR="006F5EE4" w:rsidRPr="00FC109D">
        <w:rPr>
          <w:rFonts w:ascii="Times New Roman" w:hAnsi="Times New Roman" w:cs="Times New Roman"/>
          <w:lang w:val="ro-MD"/>
        </w:rPr>
        <w:t xml:space="preserve"> a desfășurat</w:t>
      </w:r>
      <w:r w:rsidR="009D38A4" w:rsidRPr="00FC109D">
        <w:rPr>
          <w:rFonts w:ascii="Times New Roman" w:hAnsi="Times New Roman" w:cs="Times New Roman"/>
          <w:lang w:val="ro-MD"/>
        </w:rPr>
        <w:t xml:space="preserve"> </w:t>
      </w:r>
      <w:r w:rsidR="006F5EE4" w:rsidRPr="00FC109D">
        <w:rPr>
          <w:rFonts w:ascii="Times New Roman" w:hAnsi="Times New Roman" w:cs="Times New Roman"/>
          <w:lang w:val="ro-MD"/>
        </w:rPr>
        <w:t xml:space="preserve">instruiri </w:t>
      </w:r>
      <w:r w:rsidR="009D38A4" w:rsidRPr="00FC109D">
        <w:rPr>
          <w:rFonts w:ascii="Times New Roman" w:hAnsi="Times New Roman" w:cs="Times New Roman"/>
          <w:lang w:val="ro-MD"/>
        </w:rPr>
        <w:t>pentru membrii grupului național de evaluare</w:t>
      </w:r>
      <w:r w:rsidR="006F5EE4" w:rsidRPr="00FC109D">
        <w:rPr>
          <w:rFonts w:ascii="Times New Roman" w:hAnsi="Times New Roman" w:cs="Times New Roman"/>
          <w:lang w:val="ro-MD"/>
        </w:rPr>
        <w:t>,</w:t>
      </w:r>
      <w:r w:rsidR="009D38A4" w:rsidRPr="00FC109D">
        <w:rPr>
          <w:rFonts w:ascii="Times New Roman" w:hAnsi="Times New Roman" w:cs="Times New Roman"/>
          <w:lang w:val="ro-MD"/>
        </w:rPr>
        <w:t xml:space="preserve"> format din reprezentanții diferitor ministere, Cancelari</w:t>
      </w:r>
      <w:r w:rsidR="006F5EE4" w:rsidRPr="00FC109D">
        <w:rPr>
          <w:rFonts w:ascii="Times New Roman" w:hAnsi="Times New Roman" w:cs="Times New Roman"/>
          <w:lang w:val="ro-MD"/>
        </w:rPr>
        <w:t>a</w:t>
      </w:r>
      <w:r w:rsidR="009D38A4" w:rsidRPr="00FC109D">
        <w:rPr>
          <w:rFonts w:ascii="Times New Roman" w:hAnsi="Times New Roman" w:cs="Times New Roman"/>
          <w:lang w:val="ro-MD"/>
        </w:rPr>
        <w:t xml:space="preserve"> de Stat și </w:t>
      </w:r>
      <w:r w:rsidR="006F5EE4" w:rsidRPr="00FC109D">
        <w:rPr>
          <w:rFonts w:ascii="Times New Roman" w:hAnsi="Times New Roman" w:cs="Times New Roman"/>
          <w:lang w:val="ro-MD"/>
        </w:rPr>
        <w:t xml:space="preserve">ai </w:t>
      </w:r>
      <w:r w:rsidR="009D38A4" w:rsidRPr="00FC109D">
        <w:rPr>
          <w:rFonts w:ascii="Times New Roman" w:hAnsi="Times New Roman" w:cs="Times New Roman"/>
          <w:lang w:val="ro-MD"/>
        </w:rPr>
        <w:t xml:space="preserve">Secretariatul AIR. </w:t>
      </w:r>
    </w:p>
    <w:p w14:paraId="5E5FDDCA" w14:textId="00D8D2FB" w:rsidR="002737FF" w:rsidRPr="00FC109D" w:rsidRDefault="006F5EE4" w:rsidP="002C7C89">
      <w:pPr>
        <w:jc w:val="both"/>
        <w:rPr>
          <w:rFonts w:ascii="Times New Roman" w:hAnsi="Times New Roman" w:cs="Times New Roman"/>
          <w:lang w:val="ro-MD"/>
        </w:rPr>
      </w:pPr>
      <w:r w:rsidRPr="00FC109D">
        <w:rPr>
          <w:rFonts w:ascii="Times New Roman" w:hAnsi="Times New Roman" w:cs="Times New Roman"/>
          <w:b/>
          <w:lang w:val="ro-MD"/>
        </w:rPr>
        <w:t>Eficientizarea</w:t>
      </w:r>
      <w:r w:rsidR="002737FF" w:rsidRPr="00FC109D">
        <w:rPr>
          <w:rFonts w:ascii="Times New Roman" w:hAnsi="Times New Roman" w:cs="Times New Roman"/>
          <w:b/>
          <w:lang w:val="ro-MD"/>
        </w:rPr>
        <w:t xml:space="preserve"> procedurilor </w:t>
      </w:r>
      <w:r w:rsidRPr="00FC109D">
        <w:rPr>
          <w:rFonts w:ascii="Times New Roman" w:hAnsi="Times New Roman" w:cs="Times New Roman"/>
          <w:b/>
          <w:lang w:val="ro-MD"/>
        </w:rPr>
        <w:t>pentru</w:t>
      </w:r>
      <w:r w:rsidR="002737FF" w:rsidRPr="00FC109D">
        <w:rPr>
          <w:rFonts w:ascii="Times New Roman" w:hAnsi="Times New Roman" w:cs="Times New Roman"/>
          <w:b/>
          <w:lang w:val="ro-MD"/>
        </w:rPr>
        <w:t xml:space="preserve"> acte permisive</w:t>
      </w:r>
      <w:r w:rsidR="002737FF" w:rsidRPr="00FC109D">
        <w:rPr>
          <w:rFonts w:ascii="Times New Roman" w:hAnsi="Times New Roman" w:cs="Times New Roman"/>
          <w:lang w:val="ro-MD"/>
        </w:rPr>
        <w:t xml:space="preserve">. Guvernul a îndeplinit cerințele pentru </w:t>
      </w:r>
      <w:r w:rsidR="00662C3E" w:rsidRPr="00FC109D">
        <w:rPr>
          <w:rFonts w:ascii="Times New Roman" w:hAnsi="Times New Roman" w:cs="Times New Roman"/>
          <w:lang w:val="ro-MD"/>
        </w:rPr>
        <w:t>indicatorii de performan</w:t>
      </w:r>
      <w:r w:rsidR="00FB6484" w:rsidRPr="00FC109D">
        <w:rPr>
          <w:rFonts w:ascii="Times New Roman" w:hAnsi="Times New Roman" w:cs="Times New Roman"/>
          <w:lang w:val="ro-MD"/>
        </w:rPr>
        <w:t>ț</w:t>
      </w:r>
      <w:r w:rsidR="00662C3E" w:rsidRPr="00FC109D">
        <w:rPr>
          <w:rFonts w:ascii="Times New Roman" w:hAnsi="Times New Roman" w:cs="Times New Roman"/>
          <w:lang w:val="ro-MD"/>
        </w:rPr>
        <w:t>a</w:t>
      </w:r>
      <w:r w:rsidR="002737FF" w:rsidRPr="00FC109D">
        <w:rPr>
          <w:rFonts w:ascii="Times New Roman" w:hAnsi="Times New Roman" w:cs="Times New Roman"/>
          <w:lang w:val="ro-MD"/>
        </w:rPr>
        <w:t xml:space="preserve"> privind reforma</w:t>
      </w:r>
      <w:r w:rsidR="00D172AE" w:rsidRPr="00FC109D">
        <w:rPr>
          <w:rFonts w:ascii="Times New Roman" w:hAnsi="Times New Roman" w:cs="Times New Roman"/>
          <w:lang w:val="ro-MD"/>
        </w:rPr>
        <w:t xml:space="preserve"> de reglementare</w:t>
      </w:r>
      <w:r w:rsidR="002737FF" w:rsidRPr="00FC109D">
        <w:rPr>
          <w:rFonts w:ascii="Times New Roman" w:hAnsi="Times New Roman" w:cs="Times New Roman"/>
          <w:lang w:val="ro-MD"/>
        </w:rPr>
        <w:t xml:space="preserve">, realizând ambele reforme incluse în </w:t>
      </w:r>
      <w:r w:rsidR="00662C3E" w:rsidRPr="00FC109D">
        <w:rPr>
          <w:rFonts w:ascii="Times New Roman" w:hAnsi="Times New Roman" w:cs="Times New Roman"/>
          <w:lang w:val="ro-MD"/>
        </w:rPr>
        <w:t>matric</w:t>
      </w:r>
      <w:r w:rsidR="00FB6484" w:rsidRPr="00FC109D">
        <w:rPr>
          <w:rFonts w:ascii="Times New Roman" w:hAnsi="Times New Roman" w:cs="Times New Roman"/>
          <w:lang w:val="ro-MD"/>
        </w:rPr>
        <w:t>e</w:t>
      </w:r>
      <w:r w:rsidR="00662C3E" w:rsidRPr="00FC109D">
        <w:rPr>
          <w:rFonts w:ascii="Times New Roman" w:hAnsi="Times New Roman" w:cs="Times New Roman"/>
          <w:lang w:val="ro-MD"/>
        </w:rPr>
        <w:t xml:space="preserve">a de finanțare </w:t>
      </w:r>
      <w:r w:rsidR="00FB6484" w:rsidRPr="00FC109D">
        <w:rPr>
          <w:rFonts w:ascii="Times New Roman" w:hAnsi="Times New Roman" w:cs="Times New Roman"/>
          <w:lang w:val="ro-MD"/>
        </w:rPr>
        <w:t>î</w:t>
      </w:r>
      <w:r w:rsidR="00662C3E" w:rsidRPr="00FC109D">
        <w:rPr>
          <w:rFonts w:ascii="Times New Roman" w:hAnsi="Times New Roman" w:cs="Times New Roman"/>
          <w:lang w:val="ro-MD"/>
        </w:rPr>
        <w:t>n bază de rezultate</w:t>
      </w:r>
      <w:r w:rsidR="002737FF" w:rsidRPr="00FC109D">
        <w:rPr>
          <w:rFonts w:ascii="Times New Roman" w:hAnsi="Times New Roman" w:cs="Times New Roman"/>
          <w:lang w:val="ro-MD"/>
        </w:rPr>
        <w:t xml:space="preserve">. Reformele </w:t>
      </w:r>
      <w:r w:rsidR="00FB6484" w:rsidRPr="00FC109D">
        <w:rPr>
          <w:rFonts w:ascii="Times New Roman" w:hAnsi="Times New Roman" w:cs="Times New Roman"/>
          <w:lang w:val="ro-MD"/>
        </w:rPr>
        <w:t>se referă</w:t>
      </w:r>
      <w:r w:rsidR="002737FF" w:rsidRPr="00FC109D">
        <w:rPr>
          <w:rFonts w:ascii="Times New Roman" w:hAnsi="Times New Roman" w:cs="Times New Roman"/>
          <w:lang w:val="ro-MD"/>
        </w:rPr>
        <w:t xml:space="preserve"> </w:t>
      </w:r>
      <w:r w:rsidR="00FB6484" w:rsidRPr="00FC109D">
        <w:rPr>
          <w:rFonts w:ascii="Times New Roman" w:hAnsi="Times New Roman" w:cs="Times New Roman"/>
          <w:lang w:val="ro-MD"/>
        </w:rPr>
        <w:t>la</w:t>
      </w:r>
      <w:r w:rsidR="002737FF" w:rsidRPr="00FC109D">
        <w:rPr>
          <w:rFonts w:ascii="Times New Roman" w:hAnsi="Times New Roman" w:cs="Times New Roman"/>
          <w:lang w:val="ro-MD"/>
        </w:rPr>
        <w:t xml:space="preserve"> </w:t>
      </w:r>
      <w:r w:rsidRPr="00FC109D">
        <w:rPr>
          <w:rFonts w:ascii="Times New Roman" w:hAnsi="Times New Roman" w:cs="Times New Roman"/>
          <w:lang w:val="ro-MD"/>
        </w:rPr>
        <w:t>eficientizarea</w:t>
      </w:r>
      <w:r w:rsidR="008B4086" w:rsidRPr="00FC109D">
        <w:rPr>
          <w:rFonts w:ascii="Times New Roman" w:hAnsi="Times New Roman" w:cs="Times New Roman"/>
          <w:lang w:val="ro-MD"/>
        </w:rPr>
        <w:t xml:space="preserve"> procedurilor pentru acte</w:t>
      </w:r>
      <w:r w:rsidR="00662C3E" w:rsidRPr="00FC109D">
        <w:rPr>
          <w:rFonts w:ascii="Times New Roman" w:hAnsi="Times New Roman" w:cs="Times New Roman"/>
          <w:lang w:val="ro-MD"/>
        </w:rPr>
        <w:t>le</w:t>
      </w:r>
      <w:r w:rsidR="008B4086" w:rsidRPr="00FC109D">
        <w:rPr>
          <w:rFonts w:ascii="Times New Roman" w:hAnsi="Times New Roman" w:cs="Times New Roman"/>
          <w:lang w:val="ro-MD"/>
        </w:rPr>
        <w:t xml:space="preserve"> permisive priorita</w:t>
      </w:r>
      <w:r w:rsidR="00662C3E" w:rsidRPr="00FC109D">
        <w:rPr>
          <w:rFonts w:ascii="Times New Roman" w:hAnsi="Times New Roman" w:cs="Times New Roman"/>
          <w:lang w:val="ro-MD"/>
        </w:rPr>
        <w:t>re</w:t>
      </w:r>
      <w:r w:rsidRPr="00FC109D">
        <w:rPr>
          <w:rFonts w:ascii="Times New Roman" w:hAnsi="Times New Roman" w:cs="Times New Roman"/>
          <w:lang w:val="ro-MD"/>
        </w:rPr>
        <w:t>,</w:t>
      </w:r>
      <w:r w:rsidR="008B4086" w:rsidRPr="00FC109D">
        <w:rPr>
          <w:rFonts w:ascii="Times New Roman" w:hAnsi="Times New Roman" w:cs="Times New Roman"/>
          <w:lang w:val="ro-MD"/>
        </w:rPr>
        <w:t xml:space="preserve"> </w:t>
      </w:r>
      <w:r w:rsidRPr="00FC109D">
        <w:rPr>
          <w:rFonts w:ascii="Times New Roman" w:hAnsi="Times New Roman" w:cs="Times New Roman"/>
          <w:lang w:val="ro-MD"/>
        </w:rPr>
        <w:t>în special</w:t>
      </w:r>
      <w:r w:rsidR="00FB6484" w:rsidRPr="00FC109D">
        <w:rPr>
          <w:rFonts w:ascii="Times New Roman" w:hAnsi="Times New Roman" w:cs="Times New Roman"/>
          <w:lang w:val="ro-MD"/>
        </w:rPr>
        <w:t>,</w:t>
      </w:r>
      <w:r w:rsidR="008B4086" w:rsidRPr="00FC109D">
        <w:rPr>
          <w:rFonts w:ascii="Times New Roman" w:hAnsi="Times New Roman" w:cs="Times New Roman"/>
          <w:lang w:val="ro-MD"/>
        </w:rPr>
        <w:t xml:space="preserve"> </w:t>
      </w:r>
      <w:r w:rsidR="002737FF" w:rsidRPr="00FC109D">
        <w:rPr>
          <w:rFonts w:ascii="Times New Roman" w:hAnsi="Times New Roman" w:cs="Times New Roman"/>
          <w:lang w:val="ro-MD"/>
        </w:rPr>
        <w:t>autorizații</w:t>
      </w:r>
      <w:r w:rsidRPr="00FC109D">
        <w:rPr>
          <w:rFonts w:ascii="Times New Roman" w:hAnsi="Times New Roman" w:cs="Times New Roman"/>
          <w:lang w:val="ro-MD"/>
        </w:rPr>
        <w:t>le</w:t>
      </w:r>
      <w:r w:rsidR="002737FF" w:rsidRPr="00FC109D">
        <w:rPr>
          <w:rFonts w:ascii="Times New Roman" w:hAnsi="Times New Roman" w:cs="Times New Roman"/>
          <w:lang w:val="ro-MD"/>
        </w:rPr>
        <w:t xml:space="preserve"> </w:t>
      </w:r>
      <w:r w:rsidR="00662C3E" w:rsidRPr="00FC109D">
        <w:rPr>
          <w:rFonts w:ascii="Times New Roman" w:hAnsi="Times New Roman" w:cs="Times New Roman"/>
          <w:lang w:val="ro-MD"/>
        </w:rPr>
        <w:t>în</w:t>
      </w:r>
      <w:r w:rsidR="002737FF" w:rsidRPr="00FC109D">
        <w:rPr>
          <w:rFonts w:ascii="Times New Roman" w:hAnsi="Times New Roman" w:cs="Times New Roman"/>
          <w:lang w:val="ro-MD"/>
        </w:rPr>
        <w:t xml:space="preserve"> constru</w:t>
      </w:r>
      <w:r w:rsidR="008B4086" w:rsidRPr="00FC109D">
        <w:rPr>
          <w:rFonts w:ascii="Times New Roman" w:hAnsi="Times New Roman" w:cs="Times New Roman"/>
          <w:lang w:val="ro-MD"/>
        </w:rPr>
        <w:t>cți</w:t>
      </w:r>
      <w:r w:rsidR="00662C3E" w:rsidRPr="00FC109D">
        <w:rPr>
          <w:rFonts w:ascii="Times New Roman" w:hAnsi="Times New Roman" w:cs="Times New Roman"/>
          <w:lang w:val="ro-MD"/>
        </w:rPr>
        <w:t>e</w:t>
      </w:r>
      <w:r w:rsidR="002737FF" w:rsidRPr="00FC109D">
        <w:rPr>
          <w:rFonts w:ascii="Times New Roman" w:hAnsi="Times New Roman" w:cs="Times New Roman"/>
          <w:lang w:val="ro-MD"/>
        </w:rPr>
        <w:t xml:space="preserve"> și autorizațiile </w:t>
      </w:r>
      <w:r w:rsidR="008B4086" w:rsidRPr="00FC109D">
        <w:rPr>
          <w:rFonts w:ascii="Times New Roman" w:hAnsi="Times New Roman" w:cs="Times New Roman"/>
          <w:lang w:val="ro-MD"/>
        </w:rPr>
        <w:t>privind</w:t>
      </w:r>
      <w:r w:rsidR="002737FF" w:rsidRPr="00FC109D">
        <w:rPr>
          <w:rFonts w:ascii="Times New Roman" w:hAnsi="Times New Roman" w:cs="Times New Roman"/>
          <w:lang w:val="ro-MD"/>
        </w:rPr>
        <w:t xml:space="preserve"> comerț</w:t>
      </w:r>
      <w:r w:rsidR="008B4086" w:rsidRPr="00FC109D">
        <w:rPr>
          <w:rFonts w:ascii="Times New Roman" w:hAnsi="Times New Roman" w:cs="Times New Roman"/>
          <w:lang w:val="ro-MD"/>
        </w:rPr>
        <w:t>ul</w:t>
      </w:r>
      <w:r w:rsidR="002737FF" w:rsidRPr="00FC109D">
        <w:rPr>
          <w:rFonts w:ascii="Times New Roman" w:hAnsi="Times New Roman" w:cs="Times New Roman"/>
          <w:lang w:val="ro-MD"/>
        </w:rPr>
        <w:t xml:space="preserve"> intern. Aceste reforme vor avea un impact direct și vizibil asupra mediului de afaceri din Moldova.</w:t>
      </w:r>
    </w:p>
    <w:p w14:paraId="1ECC7F74" w14:textId="6146238A" w:rsidR="008B4086" w:rsidRPr="00FC109D" w:rsidRDefault="008B4086" w:rsidP="002C7C89">
      <w:pPr>
        <w:jc w:val="both"/>
        <w:rPr>
          <w:rFonts w:ascii="Times New Roman" w:hAnsi="Times New Roman" w:cs="Times New Roman"/>
          <w:lang w:val="ro-MD"/>
        </w:rPr>
      </w:pPr>
      <w:r w:rsidRPr="00FC109D">
        <w:rPr>
          <w:rFonts w:ascii="Times New Roman" w:hAnsi="Times New Roman" w:cs="Times New Roman"/>
          <w:b/>
          <w:lang w:val="ro-MD"/>
        </w:rPr>
        <w:t>Rata de conform</w:t>
      </w:r>
      <w:r w:rsidR="00662C3E" w:rsidRPr="00FC109D">
        <w:rPr>
          <w:rFonts w:ascii="Times New Roman" w:hAnsi="Times New Roman" w:cs="Times New Roman"/>
          <w:b/>
          <w:lang w:val="ro-MD"/>
        </w:rPr>
        <w:t>are</w:t>
      </w:r>
      <w:r w:rsidRPr="00FC109D">
        <w:rPr>
          <w:rFonts w:ascii="Times New Roman" w:hAnsi="Times New Roman" w:cs="Times New Roman"/>
          <w:b/>
          <w:lang w:val="ro-MD"/>
        </w:rPr>
        <w:t xml:space="preserve"> AIR.</w:t>
      </w:r>
      <w:r w:rsidRPr="00FC109D">
        <w:rPr>
          <w:rFonts w:ascii="Times New Roman" w:hAnsi="Times New Roman" w:cs="Times New Roman"/>
          <w:lang w:val="ro-MD"/>
        </w:rPr>
        <w:t xml:space="preserve"> Conform indicatorilor raportați de Secretariatul A</w:t>
      </w:r>
      <w:r w:rsidR="00662C3E" w:rsidRPr="00FC109D">
        <w:rPr>
          <w:rFonts w:ascii="Times New Roman" w:hAnsi="Times New Roman" w:cs="Times New Roman"/>
          <w:lang w:val="ro-MD"/>
        </w:rPr>
        <w:t xml:space="preserve">nalizei </w:t>
      </w:r>
      <w:r w:rsidRPr="00FC109D">
        <w:rPr>
          <w:rFonts w:ascii="Times New Roman" w:hAnsi="Times New Roman" w:cs="Times New Roman"/>
          <w:lang w:val="ro-MD"/>
        </w:rPr>
        <w:t>I</w:t>
      </w:r>
      <w:r w:rsidR="00662C3E" w:rsidRPr="00FC109D">
        <w:rPr>
          <w:rFonts w:ascii="Times New Roman" w:hAnsi="Times New Roman" w:cs="Times New Roman"/>
          <w:lang w:val="ro-MD"/>
        </w:rPr>
        <w:t xml:space="preserve">mpactului de </w:t>
      </w:r>
      <w:r w:rsidRPr="00FC109D">
        <w:rPr>
          <w:rFonts w:ascii="Times New Roman" w:hAnsi="Times New Roman" w:cs="Times New Roman"/>
          <w:lang w:val="ro-MD"/>
        </w:rPr>
        <w:t>R</w:t>
      </w:r>
      <w:r w:rsidR="00662C3E" w:rsidRPr="00FC109D">
        <w:rPr>
          <w:rFonts w:ascii="Times New Roman" w:hAnsi="Times New Roman" w:cs="Times New Roman"/>
          <w:lang w:val="ro-MD"/>
        </w:rPr>
        <w:t>eglementare</w:t>
      </w:r>
      <w:r w:rsidRPr="00FC109D">
        <w:rPr>
          <w:rFonts w:ascii="Times New Roman" w:hAnsi="Times New Roman" w:cs="Times New Roman"/>
          <w:lang w:val="ro-MD"/>
        </w:rPr>
        <w:t>, rata de conform</w:t>
      </w:r>
      <w:r w:rsidR="00662C3E" w:rsidRPr="00FC109D">
        <w:rPr>
          <w:rFonts w:ascii="Times New Roman" w:hAnsi="Times New Roman" w:cs="Times New Roman"/>
          <w:lang w:val="ro-MD"/>
        </w:rPr>
        <w:t>are</w:t>
      </w:r>
      <w:r w:rsidRPr="00FC109D">
        <w:rPr>
          <w:rFonts w:ascii="Times New Roman" w:hAnsi="Times New Roman" w:cs="Times New Roman"/>
          <w:lang w:val="ro-MD"/>
        </w:rPr>
        <w:t xml:space="preserve"> AIR pe parcursul ult</w:t>
      </w:r>
      <w:r w:rsidR="00FB6484" w:rsidRPr="00FC109D">
        <w:rPr>
          <w:rFonts w:ascii="Times New Roman" w:hAnsi="Times New Roman" w:cs="Times New Roman"/>
          <w:lang w:val="ro-MD"/>
        </w:rPr>
        <w:t>i</w:t>
      </w:r>
      <w:r w:rsidRPr="00FC109D">
        <w:rPr>
          <w:rFonts w:ascii="Times New Roman" w:hAnsi="Times New Roman" w:cs="Times New Roman"/>
          <w:lang w:val="ro-MD"/>
        </w:rPr>
        <w:t xml:space="preserve">melor patru luni s-a îmbunătățit considerabil, de </w:t>
      </w:r>
      <w:r w:rsidR="006F5EE4" w:rsidRPr="00FC109D">
        <w:rPr>
          <w:rFonts w:ascii="Times New Roman" w:hAnsi="Times New Roman" w:cs="Times New Roman"/>
          <w:lang w:val="ro-MD"/>
        </w:rPr>
        <w:t xml:space="preserve">la </w:t>
      </w:r>
      <w:r w:rsidRPr="00FC109D">
        <w:rPr>
          <w:rFonts w:ascii="Times New Roman" w:hAnsi="Times New Roman" w:cs="Times New Roman"/>
          <w:lang w:val="ro-MD"/>
        </w:rPr>
        <w:t>20%</w:t>
      </w:r>
      <w:r w:rsidR="006F5EE4" w:rsidRPr="00FC109D">
        <w:rPr>
          <w:rFonts w:ascii="Times New Roman" w:hAnsi="Times New Roman" w:cs="Times New Roman"/>
          <w:lang w:val="ro-MD"/>
        </w:rPr>
        <w:t xml:space="preserve"> în luna iunie</w:t>
      </w:r>
      <w:r w:rsidRPr="00FC109D">
        <w:rPr>
          <w:rFonts w:ascii="Times New Roman" w:hAnsi="Times New Roman" w:cs="Times New Roman"/>
          <w:lang w:val="ro-MD"/>
        </w:rPr>
        <w:t xml:space="preserve">, </w:t>
      </w:r>
      <w:r w:rsidR="006F5EE4" w:rsidRPr="00FC109D">
        <w:rPr>
          <w:rFonts w:ascii="Times New Roman" w:hAnsi="Times New Roman" w:cs="Times New Roman"/>
          <w:lang w:val="ro-MD"/>
        </w:rPr>
        <w:t xml:space="preserve">39% în </w:t>
      </w:r>
      <w:r w:rsidRPr="00FC109D">
        <w:rPr>
          <w:rFonts w:ascii="Times New Roman" w:hAnsi="Times New Roman" w:cs="Times New Roman"/>
          <w:lang w:val="ro-MD"/>
        </w:rPr>
        <w:t>iulie</w:t>
      </w:r>
      <w:r w:rsidR="006F5EE4" w:rsidRPr="00FC109D">
        <w:rPr>
          <w:rFonts w:ascii="Times New Roman" w:hAnsi="Times New Roman" w:cs="Times New Roman"/>
          <w:lang w:val="ro-MD"/>
        </w:rPr>
        <w:t xml:space="preserve">, </w:t>
      </w:r>
      <w:r w:rsidRPr="00FC109D">
        <w:rPr>
          <w:rFonts w:ascii="Times New Roman" w:hAnsi="Times New Roman" w:cs="Times New Roman"/>
          <w:lang w:val="ro-MD"/>
        </w:rPr>
        <w:t>36%</w:t>
      </w:r>
      <w:r w:rsidR="006F5EE4" w:rsidRPr="00FC109D">
        <w:rPr>
          <w:rFonts w:ascii="Times New Roman" w:hAnsi="Times New Roman" w:cs="Times New Roman"/>
          <w:lang w:val="ro-MD"/>
        </w:rPr>
        <w:t xml:space="preserve"> în august</w:t>
      </w:r>
      <w:r w:rsidRPr="00FC109D">
        <w:rPr>
          <w:rFonts w:ascii="Times New Roman" w:hAnsi="Times New Roman" w:cs="Times New Roman"/>
          <w:lang w:val="ro-MD"/>
        </w:rPr>
        <w:t xml:space="preserve">, </w:t>
      </w:r>
      <w:r w:rsidR="006F5EE4" w:rsidRPr="00FC109D">
        <w:rPr>
          <w:rFonts w:ascii="Times New Roman" w:hAnsi="Times New Roman" w:cs="Times New Roman"/>
          <w:lang w:val="ro-MD"/>
        </w:rPr>
        <w:t>la</w:t>
      </w:r>
      <w:r w:rsidRPr="00FC109D">
        <w:rPr>
          <w:rFonts w:ascii="Times New Roman" w:hAnsi="Times New Roman" w:cs="Times New Roman"/>
          <w:lang w:val="ro-MD"/>
        </w:rPr>
        <w:t xml:space="preserve"> 73%</w:t>
      </w:r>
      <w:r w:rsidR="006F5EE4" w:rsidRPr="00FC109D">
        <w:rPr>
          <w:rFonts w:ascii="Times New Roman" w:hAnsi="Times New Roman" w:cs="Times New Roman"/>
          <w:lang w:val="ro-MD"/>
        </w:rPr>
        <w:t xml:space="preserve"> în septembrie</w:t>
      </w:r>
      <w:r w:rsidR="00FB6484" w:rsidRPr="00FC109D">
        <w:rPr>
          <w:rFonts w:ascii="Times New Roman" w:hAnsi="Times New Roman" w:cs="Times New Roman"/>
          <w:lang w:val="ro-MD"/>
        </w:rPr>
        <w:t>,</w:t>
      </w:r>
      <w:r w:rsidRPr="00FC109D">
        <w:rPr>
          <w:rFonts w:ascii="Times New Roman" w:hAnsi="Times New Roman" w:cs="Times New Roman"/>
          <w:lang w:val="ro-MD"/>
        </w:rPr>
        <w:t xml:space="preserve"> în timp ce</w:t>
      </w:r>
      <w:r w:rsidR="00C1536C" w:rsidRPr="00FC109D">
        <w:rPr>
          <w:rFonts w:ascii="Times New Roman" w:hAnsi="Times New Roman" w:cs="Times New Roman"/>
          <w:lang w:val="ro-MD"/>
        </w:rPr>
        <w:t>,</w:t>
      </w:r>
      <w:r w:rsidRPr="00FC109D">
        <w:rPr>
          <w:rFonts w:ascii="Times New Roman" w:hAnsi="Times New Roman" w:cs="Times New Roman"/>
          <w:lang w:val="ro-MD"/>
        </w:rPr>
        <w:t xml:space="preserve"> comparativ cu perioada de nouă luni </w:t>
      </w:r>
      <w:r w:rsidR="00C1536C" w:rsidRPr="00FC109D">
        <w:rPr>
          <w:rFonts w:ascii="Times New Roman" w:hAnsi="Times New Roman" w:cs="Times New Roman"/>
          <w:lang w:val="ro-MD"/>
        </w:rPr>
        <w:t>din</w:t>
      </w:r>
      <w:r w:rsidRPr="00FC109D">
        <w:rPr>
          <w:rFonts w:ascii="Times New Roman" w:hAnsi="Times New Roman" w:cs="Times New Roman"/>
          <w:lang w:val="ro-MD"/>
        </w:rPr>
        <w:t xml:space="preserve"> 2015</w:t>
      </w:r>
      <w:r w:rsidR="00C1536C" w:rsidRPr="00FC109D">
        <w:rPr>
          <w:rFonts w:ascii="Times New Roman" w:hAnsi="Times New Roman" w:cs="Times New Roman"/>
          <w:lang w:val="ro-MD"/>
        </w:rPr>
        <w:t>,</w:t>
      </w:r>
      <w:r w:rsidRPr="00FC109D">
        <w:rPr>
          <w:rFonts w:ascii="Times New Roman" w:hAnsi="Times New Roman" w:cs="Times New Roman"/>
          <w:lang w:val="ro-MD"/>
        </w:rPr>
        <w:t xml:space="preserve"> acest indicator a crescut până la 43 </w:t>
      </w:r>
      <w:r w:rsidR="00C1536C" w:rsidRPr="00FC109D">
        <w:rPr>
          <w:rFonts w:ascii="Times New Roman" w:hAnsi="Times New Roman" w:cs="Times New Roman"/>
          <w:lang w:val="ro-MD"/>
        </w:rPr>
        <w:t>procente</w:t>
      </w:r>
      <w:r w:rsidRPr="00FC109D">
        <w:rPr>
          <w:rFonts w:ascii="Times New Roman" w:hAnsi="Times New Roman" w:cs="Times New Roman"/>
          <w:lang w:val="ro-MD"/>
        </w:rPr>
        <w:t xml:space="preserve"> (ianuarie-septembrie 2015 </w:t>
      </w:r>
      <w:r w:rsidR="006F5EE4" w:rsidRPr="00FC109D">
        <w:rPr>
          <w:rFonts w:ascii="Times New Roman" w:hAnsi="Times New Roman" w:cs="Times New Roman"/>
          <w:lang w:val="ro-MD"/>
        </w:rPr>
        <w:t>–</w:t>
      </w:r>
      <w:r w:rsidRPr="00FC109D">
        <w:rPr>
          <w:rFonts w:ascii="Times New Roman" w:hAnsi="Times New Roman" w:cs="Times New Roman"/>
          <w:lang w:val="ro-MD"/>
        </w:rPr>
        <w:t xml:space="preserve"> </w:t>
      </w:r>
      <w:r w:rsidR="006F5EE4" w:rsidRPr="00FC109D">
        <w:rPr>
          <w:rFonts w:ascii="Times New Roman" w:hAnsi="Times New Roman" w:cs="Times New Roman"/>
          <w:lang w:val="ro-MD"/>
        </w:rPr>
        <w:t xml:space="preserve">înregistrând </w:t>
      </w:r>
      <w:r w:rsidRPr="00FC109D">
        <w:rPr>
          <w:rFonts w:ascii="Times New Roman" w:hAnsi="Times New Roman" w:cs="Times New Roman"/>
          <w:lang w:val="ro-MD"/>
        </w:rPr>
        <w:t xml:space="preserve">33 </w:t>
      </w:r>
      <w:r w:rsidR="00C1536C" w:rsidRPr="00FC109D">
        <w:rPr>
          <w:rFonts w:ascii="Times New Roman" w:hAnsi="Times New Roman" w:cs="Times New Roman"/>
          <w:lang w:val="ro-MD"/>
        </w:rPr>
        <w:t>procente</w:t>
      </w:r>
      <w:r w:rsidRPr="00FC109D">
        <w:rPr>
          <w:rFonts w:ascii="Times New Roman" w:hAnsi="Times New Roman" w:cs="Times New Roman"/>
          <w:lang w:val="ro-MD"/>
        </w:rPr>
        <w:t>). Pe parcursul perioadei iunie</w:t>
      </w:r>
      <w:r w:rsidR="00C1536C" w:rsidRPr="00FC109D">
        <w:rPr>
          <w:rFonts w:ascii="Times New Roman" w:hAnsi="Times New Roman" w:cs="Times New Roman"/>
          <w:lang w:val="ro-MD"/>
        </w:rPr>
        <w:t xml:space="preserve"> -</w:t>
      </w:r>
      <w:r w:rsidRPr="00FC109D">
        <w:rPr>
          <w:rFonts w:ascii="Times New Roman" w:hAnsi="Times New Roman" w:cs="Times New Roman"/>
          <w:lang w:val="ro-MD"/>
        </w:rPr>
        <w:t xml:space="preserve"> septembrie 2016</w:t>
      </w:r>
      <w:r w:rsidR="00C1536C" w:rsidRPr="00FC109D">
        <w:rPr>
          <w:rFonts w:ascii="Times New Roman" w:hAnsi="Times New Roman" w:cs="Times New Roman"/>
          <w:lang w:val="ro-MD"/>
        </w:rPr>
        <w:t>,</w:t>
      </w:r>
      <w:r w:rsidRPr="00FC109D">
        <w:rPr>
          <w:rFonts w:ascii="Times New Roman" w:hAnsi="Times New Roman" w:cs="Times New Roman"/>
          <w:lang w:val="ro-MD"/>
        </w:rPr>
        <w:t xml:space="preserve"> Secretariatul </w:t>
      </w:r>
      <w:r w:rsidR="00C1536C" w:rsidRPr="00FC109D">
        <w:rPr>
          <w:rFonts w:ascii="Times New Roman" w:hAnsi="Times New Roman" w:cs="Times New Roman"/>
          <w:lang w:val="ro-MD"/>
        </w:rPr>
        <w:t>AIR</w:t>
      </w:r>
      <w:r w:rsidRPr="00FC109D">
        <w:rPr>
          <w:rFonts w:ascii="Times New Roman" w:hAnsi="Times New Roman" w:cs="Times New Roman"/>
          <w:lang w:val="ro-MD"/>
        </w:rPr>
        <w:t xml:space="preserve"> a revizuit 56 de documente </w:t>
      </w:r>
      <w:r w:rsidR="00C1536C" w:rsidRPr="00FC109D">
        <w:rPr>
          <w:rFonts w:ascii="Times New Roman" w:hAnsi="Times New Roman" w:cs="Times New Roman"/>
          <w:lang w:val="ro-MD"/>
        </w:rPr>
        <w:t>AIR,</w:t>
      </w:r>
      <w:r w:rsidRPr="00FC109D">
        <w:rPr>
          <w:rFonts w:ascii="Times New Roman" w:hAnsi="Times New Roman" w:cs="Times New Roman"/>
          <w:lang w:val="ro-MD"/>
        </w:rPr>
        <w:t xml:space="preserve"> din care 55 au primit un aviz pozitiv sau pozitiv</w:t>
      </w:r>
      <w:r w:rsidR="00C1536C" w:rsidRPr="00FC109D">
        <w:rPr>
          <w:rFonts w:ascii="Times New Roman" w:hAnsi="Times New Roman" w:cs="Times New Roman"/>
          <w:lang w:val="ro-MD"/>
        </w:rPr>
        <w:t>-condiționat</w:t>
      </w:r>
      <w:r w:rsidRPr="00FC109D">
        <w:rPr>
          <w:rFonts w:ascii="Times New Roman" w:hAnsi="Times New Roman" w:cs="Times New Roman"/>
          <w:lang w:val="ro-MD"/>
        </w:rPr>
        <w:t>.</w:t>
      </w:r>
    </w:p>
    <w:p w14:paraId="560FB0BB" w14:textId="5446FEFC" w:rsidR="00961B80" w:rsidRPr="00FC109D" w:rsidRDefault="00C1536C" w:rsidP="002C7C89">
      <w:pPr>
        <w:jc w:val="both"/>
        <w:rPr>
          <w:rFonts w:ascii="Times New Roman" w:hAnsi="Times New Roman" w:cs="Times New Roman"/>
          <w:color w:val="FF0000"/>
          <w:lang w:val="ro-MD"/>
        </w:rPr>
      </w:pPr>
      <w:r w:rsidRPr="00FC109D">
        <w:rPr>
          <w:rFonts w:ascii="Times New Roman" w:hAnsi="Times New Roman" w:cs="Times New Roman"/>
          <w:b/>
          <w:lang w:val="ro-MD"/>
        </w:rPr>
        <w:t>Personalul secretariatului AIR</w:t>
      </w:r>
      <w:r w:rsidRPr="00FC109D">
        <w:rPr>
          <w:rFonts w:ascii="Times New Roman" w:hAnsi="Times New Roman" w:cs="Times New Roman"/>
          <w:lang w:val="ro-MD"/>
        </w:rPr>
        <w:t xml:space="preserve">. Una din activitățile finanțate </w:t>
      </w:r>
      <w:r w:rsidR="00FB6484" w:rsidRPr="00FC109D">
        <w:rPr>
          <w:rFonts w:ascii="Times New Roman" w:hAnsi="Times New Roman" w:cs="Times New Roman"/>
          <w:lang w:val="ro-MD"/>
        </w:rPr>
        <w:t>în</w:t>
      </w:r>
      <w:r w:rsidRPr="00FC109D">
        <w:rPr>
          <w:rFonts w:ascii="Times New Roman" w:hAnsi="Times New Roman" w:cs="Times New Roman"/>
          <w:lang w:val="ro-MD"/>
        </w:rPr>
        <w:t xml:space="preserve"> cadrul proiectului de susținere a Guvernului în implementarea agendei reformei </w:t>
      </w:r>
      <w:r w:rsidR="00D172AE" w:rsidRPr="00FC109D">
        <w:rPr>
          <w:rFonts w:ascii="Times New Roman" w:hAnsi="Times New Roman" w:cs="Times New Roman"/>
          <w:lang w:val="ro-MD"/>
        </w:rPr>
        <w:t xml:space="preserve">de </w:t>
      </w:r>
      <w:r w:rsidRPr="00FC109D">
        <w:rPr>
          <w:rFonts w:ascii="Times New Roman" w:hAnsi="Times New Roman" w:cs="Times New Roman"/>
          <w:lang w:val="ro-MD"/>
        </w:rPr>
        <w:t>reg</w:t>
      </w:r>
      <w:r w:rsidR="00D172AE" w:rsidRPr="00FC109D">
        <w:rPr>
          <w:rFonts w:ascii="Times New Roman" w:hAnsi="Times New Roman" w:cs="Times New Roman"/>
          <w:lang w:val="ro-MD"/>
        </w:rPr>
        <w:t>lementare</w:t>
      </w:r>
      <w:r w:rsidRPr="00FC109D">
        <w:rPr>
          <w:rFonts w:ascii="Times New Roman" w:hAnsi="Times New Roman" w:cs="Times New Roman"/>
          <w:lang w:val="ro-MD"/>
        </w:rPr>
        <w:t xml:space="preserve"> constă în asistența oferită de experții care </w:t>
      </w:r>
      <w:r w:rsidR="00662C3E" w:rsidRPr="00FC109D">
        <w:rPr>
          <w:rFonts w:ascii="Times New Roman" w:hAnsi="Times New Roman" w:cs="Times New Roman"/>
          <w:lang w:val="ro-MD"/>
        </w:rPr>
        <w:t>activează</w:t>
      </w:r>
      <w:r w:rsidRPr="00FC109D">
        <w:rPr>
          <w:rFonts w:ascii="Times New Roman" w:hAnsi="Times New Roman" w:cs="Times New Roman"/>
          <w:lang w:val="ro-MD"/>
        </w:rPr>
        <w:t xml:space="preserve"> în cadrul Secretariatului AIR</w:t>
      </w:r>
      <w:r w:rsidR="00662C3E" w:rsidRPr="00FC109D">
        <w:rPr>
          <w:rFonts w:ascii="Times New Roman" w:hAnsi="Times New Roman" w:cs="Times New Roman"/>
          <w:lang w:val="ro-MD"/>
        </w:rPr>
        <w:t xml:space="preserve"> al Grupului Național de Lucru al Comisiei d</w:t>
      </w:r>
      <w:r w:rsidRPr="00FC109D">
        <w:rPr>
          <w:rFonts w:ascii="Times New Roman" w:hAnsi="Times New Roman" w:cs="Times New Roman"/>
          <w:lang w:val="ro-MD"/>
        </w:rPr>
        <w:t xml:space="preserve">e Stat privind Reglementarea Activității de Întreprinzător. </w:t>
      </w:r>
      <w:r w:rsidR="006F5EE4" w:rsidRPr="00FC109D">
        <w:rPr>
          <w:rFonts w:ascii="Times New Roman" w:hAnsi="Times New Roman" w:cs="Times New Roman"/>
          <w:lang w:val="ro-MD"/>
        </w:rPr>
        <w:t>În total, sunt implicați</w:t>
      </w:r>
      <w:r w:rsidRPr="00FC109D">
        <w:rPr>
          <w:rFonts w:ascii="Times New Roman" w:hAnsi="Times New Roman" w:cs="Times New Roman"/>
          <w:lang w:val="ro-MD"/>
        </w:rPr>
        <w:t xml:space="preserve"> șase experți, fiecare fiind desemnat pentru un grup de autorități publice. Contractele cu consultanții au fost semnate în noiembrie 2014 și expiră</w:t>
      </w:r>
      <w:r w:rsidR="00961B80" w:rsidRPr="00FC109D">
        <w:rPr>
          <w:rFonts w:ascii="Times New Roman" w:hAnsi="Times New Roman" w:cs="Times New Roman"/>
          <w:lang w:val="ro-MD"/>
        </w:rPr>
        <w:t xml:space="preserve"> la sfârșitul lunii octombrie</w:t>
      </w:r>
      <w:r w:rsidRPr="00FC109D">
        <w:rPr>
          <w:rFonts w:ascii="Times New Roman" w:hAnsi="Times New Roman" w:cs="Times New Roman"/>
          <w:lang w:val="ro-MD"/>
        </w:rPr>
        <w:t xml:space="preserve"> 2016.</w:t>
      </w:r>
      <w:r w:rsidR="00961B80" w:rsidRPr="00FC109D">
        <w:rPr>
          <w:rFonts w:ascii="Times New Roman" w:hAnsi="Times New Roman" w:cs="Times New Roman"/>
          <w:lang w:val="ro-MD"/>
        </w:rPr>
        <w:t xml:space="preserve"> În acest sens, Ministerul </w:t>
      </w:r>
      <w:r w:rsidR="00F976E1" w:rsidRPr="00FC109D">
        <w:rPr>
          <w:rFonts w:ascii="Times New Roman" w:hAnsi="Times New Roman" w:cs="Times New Roman"/>
          <w:lang w:val="ro-MD"/>
        </w:rPr>
        <w:t xml:space="preserve">Economiei </w:t>
      </w:r>
      <w:r w:rsidR="00961B80" w:rsidRPr="00FC109D">
        <w:rPr>
          <w:rFonts w:ascii="Times New Roman" w:hAnsi="Times New Roman" w:cs="Times New Roman"/>
          <w:lang w:val="ro-MD"/>
        </w:rPr>
        <w:t xml:space="preserve">a înaintat o cerere către </w:t>
      </w:r>
      <w:r w:rsidR="00F976E1" w:rsidRPr="00FC109D">
        <w:rPr>
          <w:rFonts w:ascii="Times New Roman" w:hAnsi="Times New Roman" w:cs="Times New Roman"/>
          <w:lang w:val="ro-MD"/>
        </w:rPr>
        <w:t>P</w:t>
      </w:r>
      <w:r w:rsidR="00662C3E" w:rsidRPr="00FC109D">
        <w:rPr>
          <w:rFonts w:ascii="Times New Roman" w:hAnsi="Times New Roman" w:cs="Times New Roman"/>
          <w:lang w:val="ro-MD"/>
        </w:rPr>
        <w:t>roiect</w:t>
      </w:r>
      <w:r w:rsidR="00961B80" w:rsidRPr="00FC109D">
        <w:rPr>
          <w:rFonts w:ascii="Times New Roman" w:hAnsi="Times New Roman" w:cs="Times New Roman"/>
          <w:lang w:val="ro-MD"/>
        </w:rPr>
        <w:t xml:space="preserve"> de a evalua posibilitatea de prelung</w:t>
      </w:r>
      <w:r w:rsidR="006F5EE4" w:rsidRPr="00FC109D">
        <w:rPr>
          <w:rFonts w:ascii="Times New Roman" w:hAnsi="Times New Roman" w:cs="Times New Roman"/>
          <w:lang w:val="ro-MD"/>
        </w:rPr>
        <w:t>ire a contractelor cu consultanț</w:t>
      </w:r>
      <w:r w:rsidR="00961B80" w:rsidRPr="00FC109D">
        <w:rPr>
          <w:rFonts w:ascii="Times New Roman" w:hAnsi="Times New Roman" w:cs="Times New Roman"/>
          <w:lang w:val="ro-MD"/>
        </w:rPr>
        <w:t xml:space="preserve">ii AIR </w:t>
      </w:r>
      <w:proofErr w:type="spellStart"/>
      <w:r w:rsidR="00961B80" w:rsidRPr="00FC109D">
        <w:rPr>
          <w:rFonts w:ascii="Times New Roman" w:hAnsi="Times New Roman" w:cs="Times New Roman"/>
          <w:lang w:val="ro-MD"/>
        </w:rPr>
        <w:t>pâna</w:t>
      </w:r>
      <w:proofErr w:type="spellEnd"/>
      <w:r w:rsidR="00961B80" w:rsidRPr="00FC109D">
        <w:rPr>
          <w:rFonts w:ascii="Times New Roman" w:hAnsi="Times New Roman" w:cs="Times New Roman"/>
          <w:lang w:val="ro-MD"/>
        </w:rPr>
        <w:t xml:space="preserve"> în decembrie 2018. Conform </w:t>
      </w:r>
      <w:r w:rsidR="006F5EE4" w:rsidRPr="00FC109D">
        <w:rPr>
          <w:rFonts w:ascii="Times New Roman" w:hAnsi="Times New Roman" w:cs="Times New Roman"/>
          <w:lang w:val="ro-MD"/>
        </w:rPr>
        <w:t>concluziei</w:t>
      </w:r>
      <w:r w:rsidR="00961B80" w:rsidRPr="00FC109D">
        <w:rPr>
          <w:rFonts w:ascii="Times New Roman" w:hAnsi="Times New Roman" w:cs="Times New Roman"/>
          <w:lang w:val="ro-MD"/>
        </w:rPr>
        <w:t xml:space="preserve"> Ministerului Economiei, echipa Secretariatul AIR a demonstrat rezultate bune și a fost de mare sprijin autorități</w:t>
      </w:r>
      <w:r w:rsidR="00F976E1" w:rsidRPr="00FC109D">
        <w:rPr>
          <w:rFonts w:ascii="Times New Roman" w:hAnsi="Times New Roman" w:cs="Times New Roman"/>
          <w:lang w:val="ro-MD"/>
        </w:rPr>
        <w:t>lor</w:t>
      </w:r>
      <w:r w:rsidR="00961B80" w:rsidRPr="00FC109D">
        <w:rPr>
          <w:rFonts w:ascii="Times New Roman" w:hAnsi="Times New Roman" w:cs="Times New Roman"/>
          <w:lang w:val="ro-MD"/>
        </w:rPr>
        <w:t xml:space="preserve"> publice. </w:t>
      </w:r>
      <w:r w:rsidR="00EC5974" w:rsidRPr="00FC109D">
        <w:rPr>
          <w:rFonts w:ascii="Times New Roman" w:hAnsi="Times New Roman" w:cs="Times New Roman"/>
          <w:color w:val="000000" w:themeColor="text1"/>
          <w:lang w:val="ro-MD"/>
        </w:rPr>
        <w:t xml:space="preserve">Unitatea </w:t>
      </w:r>
      <w:r w:rsidR="00F976E1" w:rsidRPr="00FC109D">
        <w:rPr>
          <w:rFonts w:ascii="Times New Roman" w:hAnsi="Times New Roman" w:cs="Times New Roman"/>
          <w:color w:val="000000" w:themeColor="text1"/>
          <w:lang w:val="ro-MD"/>
        </w:rPr>
        <w:t xml:space="preserve">de Implementare </w:t>
      </w:r>
      <w:r w:rsidR="00EC5974" w:rsidRPr="00FC109D">
        <w:rPr>
          <w:rFonts w:ascii="Times New Roman" w:hAnsi="Times New Roman" w:cs="Times New Roman"/>
          <w:color w:val="000000" w:themeColor="text1"/>
          <w:lang w:val="ro-MD"/>
        </w:rPr>
        <w:t xml:space="preserve">a adresat </w:t>
      </w:r>
      <w:r w:rsidR="005B057C" w:rsidRPr="00FC109D">
        <w:rPr>
          <w:rFonts w:ascii="Times New Roman" w:hAnsi="Times New Roman" w:cs="Times New Roman"/>
          <w:color w:val="000000" w:themeColor="text1"/>
          <w:lang w:val="ro-MD"/>
        </w:rPr>
        <w:t xml:space="preserve">o </w:t>
      </w:r>
      <w:r w:rsidR="00EC5974" w:rsidRPr="00FC109D">
        <w:rPr>
          <w:rFonts w:ascii="Times New Roman" w:hAnsi="Times New Roman" w:cs="Times New Roman"/>
          <w:color w:val="000000" w:themeColor="text1"/>
          <w:lang w:val="ro-MD"/>
        </w:rPr>
        <w:t xml:space="preserve">solicitare de aprobare a extinderii contractelor cu </w:t>
      </w:r>
      <w:proofErr w:type="spellStart"/>
      <w:r w:rsidR="00EC5974" w:rsidRPr="00FC109D">
        <w:rPr>
          <w:rFonts w:ascii="Times New Roman" w:hAnsi="Times New Roman" w:cs="Times New Roman"/>
          <w:color w:val="000000" w:themeColor="text1"/>
          <w:lang w:val="ro-MD"/>
        </w:rPr>
        <w:t>expertii</w:t>
      </w:r>
      <w:proofErr w:type="spellEnd"/>
      <w:r w:rsidR="005B057C" w:rsidRPr="00FC109D">
        <w:rPr>
          <w:rFonts w:ascii="Times New Roman" w:hAnsi="Times New Roman" w:cs="Times New Roman"/>
          <w:color w:val="000000" w:themeColor="text1"/>
          <w:lang w:val="ro-MD"/>
        </w:rPr>
        <w:t xml:space="preserve">. </w:t>
      </w:r>
      <w:r w:rsidR="00EC5974" w:rsidRPr="00FC109D">
        <w:rPr>
          <w:rFonts w:ascii="Times New Roman" w:hAnsi="Times New Roman" w:cs="Times New Roman"/>
          <w:color w:val="000000" w:themeColor="text1"/>
          <w:lang w:val="ro-MD"/>
        </w:rPr>
        <w:t>Banca Mondiala</w:t>
      </w:r>
      <w:r w:rsidR="005B057C" w:rsidRPr="00FC109D">
        <w:rPr>
          <w:rFonts w:ascii="Times New Roman" w:hAnsi="Times New Roman" w:cs="Times New Roman"/>
          <w:color w:val="000000" w:themeColor="text1"/>
          <w:lang w:val="ro-MD"/>
        </w:rPr>
        <w:t>,</w:t>
      </w:r>
      <w:r w:rsidR="00EC5974" w:rsidRPr="00FC109D">
        <w:rPr>
          <w:rFonts w:ascii="Times New Roman" w:hAnsi="Times New Roman" w:cs="Times New Roman"/>
          <w:color w:val="000000" w:themeColor="text1"/>
          <w:lang w:val="ro-MD"/>
        </w:rPr>
        <w:t xml:space="preserve"> la </w:t>
      </w:r>
      <w:r w:rsidR="00D172AE" w:rsidRPr="00FC109D">
        <w:rPr>
          <w:rFonts w:ascii="Times New Roman" w:hAnsi="Times New Roman" w:cs="Times New Roman"/>
          <w:color w:val="000000" w:themeColor="text1"/>
          <w:lang w:val="ro-MD"/>
        </w:rPr>
        <w:t xml:space="preserve">rândul </w:t>
      </w:r>
      <w:r w:rsidR="00EC5974" w:rsidRPr="00FC109D">
        <w:rPr>
          <w:rFonts w:ascii="Times New Roman" w:hAnsi="Times New Roman" w:cs="Times New Roman"/>
          <w:color w:val="000000" w:themeColor="text1"/>
          <w:lang w:val="ro-MD"/>
        </w:rPr>
        <w:t>său</w:t>
      </w:r>
      <w:r w:rsidR="005B057C" w:rsidRPr="00FC109D">
        <w:rPr>
          <w:rFonts w:ascii="Times New Roman" w:hAnsi="Times New Roman" w:cs="Times New Roman"/>
          <w:color w:val="000000" w:themeColor="text1"/>
          <w:lang w:val="ro-MD"/>
        </w:rPr>
        <w:t>,</w:t>
      </w:r>
      <w:r w:rsidR="00EC5974" w:rsidRPr="00FC109D">
        <w:rPr>
          <w:rFonts w:ascii="Times New Roman" w:hAnsi="Times New Roman" w:cs="Times New Roman"/>
          <w:color w:val="000000" w:themeColor="text1"/>
          <w:lang w:val="ro-MD"/>
        </w:rPr>
        <w:t xml:space="preserve"> a </w:t>
      </w:r>
      <w:r w:rsidR="005B057C" w:rsidRPr="00FC109D">
        <w:rPr>
          <w:rFonts w:ascii="Times New Roman" w:hAnsi="Times New Roman" w:cs="Times New Roman"/>
          <w:color w:val="000000" w:themeColor="text1"/>
          <w:lang w:val="ro-MD"/>
        </w:rPr>
        <w:t xml:space="preserve">solicitat ca subiectul </w:t>
      </w:r>
      <w:r w:rsidR="00961B80" w:rsidRPr="00FC109D">
        <w:rPr>
          <w:rFonts w:ascii="Times New Roman" w:hAnsi="Times New Roman" w:cs="Times New Roman"/>
          <w:color w:val="000000" w:themeColor="text1"/>
          <w:lang w:val="ro-MD"/>
        </w:rPr>
        <w:t xml:space="preserve"> </w:t>
      </w:r>
      <w:r w:rsidR="00EC5974" w:rsidRPr="00FC109D">
        <w:rPr>
          <w:rFonts w:ascii="Times New Roman" w:hAnsi="Times New Roman" w:cs="Times New Roman"/>
          <w:color w:val="000000" w:themeColor="text1"/>
          <w:lang w:val="ro-MD"/>
        </w:rPr>
        <w:t>să</w:t>
      </w:r>
      <w:r w:rsidR="00961B80" w:rsidRPr="00FC109D">
        <w:rPr>
          <w:rFonts w:ascii="Times New Roman" w:hAnsi="Times New Roman" w:cs="Times New Roman"/>
          <w:color w:val="000000" w:themeColor="text1"/>
          <w:lang w:val="ro-MD"/>
        </w:rPr>
        <w:t xml:space="preserve"> fi</w:t>
      </w:r>
      <w:r w:rsidR="00EC5974" w:rsidRPr="00FC109D">
        <w:rPr>
          <w:rFonts w:ascii="Times New Roman" w:hAnsi="Times New Roman" w:cs="Times New Roman"/>
          <w:color w:val="000000" w:themeColor="text1"/>
          <w:lang w:val="ro-MD"/>
        </w:rPr>
        <w:t>e</w:t>
      </w:r>
      <w:r w:rsidR="00961B80" w:rsidRPr="00FC109D">
        <w:rPr>
          <w:rFonts w:ascii="Times New Roman" w:hAnsi="Times New Roman" w:cs="Times New Roman"/>
          <w:color w:val="000000" w:themeColor="text1"/>
          <w:lang w:val="ro-MD"/>
        </w:rPr>
        <w:t xml:space="preserve"> discutat </w:t>
      </w:r>
      <w:r w:rsidR="00EC5974" w:rsidRPr="00FC109D">
        <w:rPr>
          <w:rFonts w:ascii="Times New Roman" w:hAnsi="Times New Roman" w:cs="Times New Roman"/>
          <w:color w:val="000000" w:themeColor="text1"/>
          <w:lang w:val="ro-MD"/>
        </w:rPr>
        <w:t xml:space="preserve">pe parcursul </w:t>
      </w:r>
      <w:r w:rsidR="00961B80" w:rsidRPr="00FC109D">
        <w:rPr>
          <w:rFonts w:ascii="Times New Roman" w:hAnsi="Times New Roman" w:cs="Times New Roman"/>
          <w:color w:val="000000" w:themeColor="text1"/>
          <w:lang w:val="ro-MD"/>
        </w:rPr>
        <w:t>vizite</w:t>
      </w:r>
      <w:r w:rsidR="00EC5974" w:rsidRPr="00FC109D">
        <w:rPr>
          <w:rFonts w:ascii="Times New Roman" w:hAnsi="Times New Roman" w:cs="Times New Roman"/>
          <w:color w:val="000000" w:themeColor="text1"/>
          <w:lang w:val="ro-MD"/>
        </w:rPr>
        <w:t>i</w:t>
      </w:r>
      <w:r w:rsidR="00961B80" w:rsidRPr="00FC109D">
        <w:rPr>
          <w:rFonts w:ascii="Times New Roman" w:hAnsi="Times New Roman" w:cs="Times New Roman"/>
          <w:color w:val="000000" w:themeColor="text1"/>
          <w:lang w:val="ro-MD"/>
        </w:rPr>
        <w:t xml:space="preserve"> de </w:t>
      </w:r>
      <w:r w:rsidR="00AB7FAC" w:rsidRPr="00FC109D">
        <w:rPr>
          <w:rFonts w:ascii="Times New Roman" w:hAnsi="Times New Roman" w:cs="Times New Roman"/>
          <w:color w:val="000000" w:themeColor="text1"/>
          <w:lang w:val="ro-MD"/>
        </w:rPr>
        <w:t>evaluare</w:t>
      </w:r>
      <w:r w:rsidR="00961B80" w:rsidRPr="00FC109D">
        <w:rPr>
          <w:rFonts w:ascii="Times New Roman" w:hAnsi="Times New Roman" w:cs="Times New Roman"/>
          <w:color w:val="000000" w:themeColor="text1"/>
          <w:lang w:val="ro-MD"/>
        </w:rPr>
        <w:t xml:space="preserve">, pentru a decide cu privire la formatul secretariatului </w:t>
      </w:r>
      <w:r w:rsidR="00AB7FAC" w:rsidRPr="00FC109D">
        <w:rPr>
          <w:rFonts w:ascii="Times New Roman" w:hAnsi="Times New Roman" w:cs="Times New Roman"/>
          <w:color w:val="000000" w:themeColor="text1"/>
          <w:lang w:val="ro-MD"/>
        </w:rPr>
        <w:t>AIR</w:t>
      </w:r>
      <w:r w:rsidR="00961B80" w:rsidRPr="00FC109D">
        <w:rPr>
          <w:rFonts w:ascii="Times New Roman" w:hAnsi="Times New Roman" w:cs="Times New Roman"/>
          <w:color w:val="000000" w:themeColor="text1"/>
          <w:lang w:val="ro-MD"/>
        </w:rPr>
        <w:t xml:space="preserve"> și </w:t>
      </w:r>
      <w:r w:rsidR="00D172AE" w:rsidRPr="00FC109D">
        <w:rPr>
          <w:rFonts w:ascii="Times New Roman" w:hAnsi="Times New Roman" w:cs="Times New Roman"/>
          <w:color w:val="000000" w:themeColor="text1"/>
          <w:lang w:val="ro-MD"/>
        </w:rPr>
        <w:t xml:space="preserve">a </w:t>
      </w:r>
      <w:r w:rsidR="005B057C" w:rsidRPr="00FC109D">
        <w:rPr>
          <w:rFonts w:ascii="Times New Roman" w:hAnsi="Times New Roman" w:cs="Times New Roman"/>
          <w:color w:val="000000" w:themeColor="text1"/>
          <w:lang w:val="ro-MD"/>
        </w:rPr>
        <w:t>planul</w:t>
      </w:r>
      <w:r w:rsidR="00D172AE" w:rsidRPr="00FC109D">
        <w:rPr>
          <w:rFonts w:ascii="Times New Roman" w:hAnsi="Times New Roman" w:cs="Times New Roman"/>
          <w:color w:val="000000" w:themeColor="text1"/>
          <w:lang w:val="ro-MD"/>
        </w:rPr>
        <w:t>ui</w:t>
      </w:r>
      <w:r w:rsidR="005B057C" w:rsidRPr="00FC109D">
        <w:rPr>
          <w:rFonts w:ascii="Times New Roman" w:hAnsi="Times New Roman" w:cs="Times New Roman"/>
          <w:color w:val="000000" w:themeColor="text1"/>
          <w:lang w:val="ro-MD"/>
        </w:rPr>
        <w:t xml:space="preserve"> de activitate </w:t>
      </w:r>
      <w:r w:rsidR="00AB7FAC" w:rsidRPr="00FC109D">
        <w:rPr>
          <w:rFonts w:ascii="Times New Roman" w:hAnsi="Times New Roman" w:cs="Times New Roman"/>
          <w:color w:val="000000" w:themeColor="text1"/>
          <w:lang w:val="ro-MD"/>
        </w:rPr>
        <w:t>pe viitor</w:t>
      </w:r>
      <w:r w:rsidR="00EC5974" w:rsidRPr="00FC109D">
        <w:rPr>
          <w:rFonts w:ascii="Times New Roman" w:hAnsi="Times New Roman" w:cs="Times New Roman"/>
          <w:color w:val="000000" w:themeColor="text1"/>
          <w:lang w:val="ro-MD"/>
        </w:rPr>
        <w:t xml:space="preserve"> pentru</w:t>
      </w:r>
      <w:r w:rsidR="00961B80" w:rsidRPr="00FC109D">
        <w:rPr>
          <w:rFonts w:ascii="Times New Roman" w:hAnsi="Times New Roman" w:cs="Times New Roman"/>
          <w:color w:val="000000" w:themeColor="text1"/>
          <w:lang w:val="ro-MD"/>
        </w:rPr>
        <w:t xml:space="preserve"> asigura</w:t>
      </w:r>
      <w:r w:rsidR="00EC5974" w:rsidRPr="00FC109D">
        <w:rPr>
          <w:rFonts w:ascii="Times New Roman" w:hAnsi="Times New Roman" w:cs="Times New Roman"/>
          <w:color w:val="000000" w:themeColor="text1"/>
          <w:lang w:val="ro-MD"/>
        </w:rPr>
        <w:t>rea</w:t>
      </w:r>
      <w:r w:rsidR="00961B80" w:rsidRPr="00FC109D">
        <w:rPr>
          <w:rFonts w:ascii="Times New Roman" w:hAnsi="Times New Roman" w:cs="Times New Roman"/>
          <w:color w:val="000000" w:themeColor="text1"/>
          <w:lang w:val="ro-MD"/>
        </w:rPr>
        <w:t xml:space="preserve"> </w:t>
      </w:r>
      <w:r w:rsidR="00EC5974" w:rsidRPr="00FC109D">
        <w:rPr>
          <w:rFonts w:ascii="Times New Roman" w:hAnsi="Times New Roman" w:cs="Times New Roman"/>
          <w:color w:val="000000" w:themeColor="text1"/>
          <w:lang w:val="ro-MD"/>
        </w:rPr>
        <w:t>unei rate</w:t>
      </w:r>
      <w:r w:rsidR="00662C3E" w:rsidRPr="00FC109D">
        <w:rPr>
          <w:rFonts w:ascii="Times New Roman" w:hAnsi="Times New Roman" w:cs="Times New Roman"/>
          <w:color w:val="000000" w:themeColor="text1"/>
          <w:lang w:val="ro-MD"/>
        </w:rPr>
        <w:t xml:space="preserve"> de </w:t>
      </w:r>
      <w:r w:rsidR="00AB7FAC" w:rsidRPr="00FC109D">
        <w:rPr>
          <w:rFonts w:ascii="Times New Roman" w:hAnsi="Times New Roman" w:cs="Times New Roman"/>
          <w:color w:val="000000" w:themeColor="text1"/>
          <w:lang w:val="ro-MD"/>
        </w:rPr>
        <w:t>conform</w:t>
      </w:r>
      <w:r w:rsidR="00662C3E" w:rsidRPr="00FC109D">
        <w:rPr>
          <w:rFonts w:ascii="Times New Roman" w:hAnsi="Times New Roman" w:cs="Times New Roman"/>
          <w:color w:val="000000" w:themeColor="text1"/>
          <w:lang w:val="ro-MD"/>
        </w:rPr>
        <w:t>are</w:t>
      </w:r>
      <w:r w:rsidR="00EC5974" w:rsidRPr="00FC109D">
        <w:rPr>
          <w:rFonts w:ascii="Times New Roman" w:hAnsi="Times New Roman" w:cs="Times New Roman"/>
          <w:color w:val="000000" w:themeColor="text1"/>
          <w:lang w:val="ro-MD"/>
        </w:rPr>
        <w:t xml:space="preserve"> mai </w:t>
      </w:r>
      <w:r w:rsidR="00D172AE" w:rsidRPr="00FC109D">
        <w:rPr>
          <w:rFonts w:ascii="Times New Roman" w:hAnsi="Times New Roman" w:cs="Times New Roman"/>
          <w:color w:val="000000" w:themeColor="text1"/>
          <w:lang w:val="ro-MD"/>
        </w:rPr>
        <w:t>î</w:t>
      </w:r>
      <w:r w:rsidR="00EC5974" w:rsidRPr="00FC109D">
        <w:rPr>
          <w:rFonts w:ascii="Times New Roman" w:hAnsi="Times New Roman" w:cs="Times New Roman"/>
          <w:color w:val="000000" w:themeColor="text1"/>
          <w:lang w:val="ro-MD"/>
        </w:rPr>
        <w:t>nalte</w:t>
      </w:r>
      <w:r w:rsidR="00961B80" w:rsidRPr="00FC109D">
        <w:rPr>
          <w:rFonts w:ascii="Times New Roman" w:hAnsi="Times New Roman" w:cs="Times New Roman"/>
          <w:color w:val="000000" w:themeColor="text1"/>
          <w:lang w:val="ro-MD"/>
        </w:rPr>
        <w:t>.</w:t>
      </w:r>
    </w:p>
    <w:p w14:paraId="058920A0" w14:textId="227B8EF0" w:rsidR="00AB7FAC" w:rsidRPr="00FC109D" w:rsidRDefault="00AB7FAC" w:rsidP="002C7C89">
      <w:pPr>
        <w:jc w:val="both"/>
        <w:rPr>
          <w:rFonts w:ascii="Times New Roman" w:hAnsi="Times New Roman" w:cs="Times New Roman"/>
          <w:lang w:val="ro-MD"/>
        </w:rPr>
      </w:pPr>
      <w:proofErr w:type="spellStart"/>
      <w:r w:rsidRPr="00FC109D">
        <w:rPr>
          <w:rFonts w:ascii="Times New Roman" w:hAnsi="Times New Roman" w:cs="Times New Roman"/>
          <w:b/>
          <w:bCs/>
          <w:szCs w:val="24"/>
          <w:lang w:val="ro-MD"/>
        </w:rPr>
        <w:t>Ghişeu</w:t>
      </w:r>
      <w:proofErr w:type="spellEnd"/>
      <w:r w:rsidRPr="00FC109D">
        <w:rPr>
          <w:rFonts w:ascii="Times New Roman" w:hAnsi="Times New Roman" w:cs="Times New Roman"/>
          <w:b/>
          <w:bCs/>
          <w:szCs w:val="24"/>
          <w:lang w:val="ro-MD"/>
        </w:rPr>
        <w:t xml:space="preserve"> unic pentru eliberarea actelor permisive</w:t>
      </w:r>
      <w:r w:rsidRPr="00FC109D">
        <w:rPr>
          <w:rFonts w:ascii="Times New Roman" w:hAnsi="Times New Roman" w:cs="Times New Roman"/>
          <w:b/>
          <w:lang w:val="ro-MD"/>
        </w:rPr>
        <w:t>.</w:t>
      </w:r>
      <w:r w:rsidRPr="00FC109D">
        <w:rPr>
          <w:rFonts w:ascii="Times New Roman" w:hAnsi="Times New Roman" w:cs="Times New Roman"/>
          <w:lang w:val="ro-MD"/>
        </w:rPr>
        <w:t xml:space="preserve"> După apr</w:t>
      </w:r>
      <w:r w:rsidR="006F5EE4" w:rsidRPr="00FC109D">
        <w:rPr>
          <w:rFonts w:ascii="Times New Roman" w:hAnsi="Times New Roman" w:cs="Times New Roman"/>
          <w:lang w:val="ro-MD"/>
        </w:rPr>
        <w:t>obarea și publicarea Hotărârii d</w:t>
      </w:r>
      <w:r w:rsidRPr="00FC109D">
        <w:rPr>
          <w:rFonts w:ascii="Times New Roman" w:hAnsi="Times New Roman" w:cs="Times New Roman"/>
          <w:lang w:val="ro-MD"/>
        </w:rPr>
        <w:t xml:space="preserve">e Guvern privind conceptul </w:t>
      </w:r>
      <w:r w:rsidR="00272782" w:rsidRPr="00FC109D">
        <w:rPr>
          <w:rFonts w:ascii="Times New Roman" w:hAnsi="Times New Roman" w:cs="Times New Roman"/>
          <w:lang w:val="ro-MD"/>
        </w:rPr>
        <w:t>G</w:t>
      </w:r>
      <w:r w:rsidRPr="00FC109D">
        <w:rPr>
          <w:rFonts w:ascii="Times New Roman" w:hAnsi="Times New Roman" w:cs="Times New Roman"/>
          <w:lang w:val="ro-MD"/>
        </w:rPr>
        <w:t xml:space="preserve">hișeului </w:t>
      </w:r>
      <w:r w:rsidR="00272782" w:rsidRPr="00FC109D">
        <w:rPr>
          <w:rFonts w:ascii="Times New Roman" w:hAnsi="Times New Roman" w:cs="Times New Roman"/>
          <w:lang w:val="ro-MD"/>
        </w:rPr>
        <w:t>U</w:t>
      </w:r>
      <w:r w:rsidRPr="00FC109D">
        <w:rPr>
          <w:rFonts w:ascii="Times New Roman" w:hAnsi="Times New Roman" w:cs="Times New Roman"/>
          <w:lang w:val="ro-MD"/>
        </w:rPr>
        <w:t xml:space="preserve">nic pentru eliberarea actelor permisive, </w:t>
      </w:r>
      <w:r w:rsidR="006D1F56" w:rsidRPr="00FC109D">
        <w:rPr>
          <w:rFonts w:ascii="Times New Roman" w:hAnsi="Times New Roman" w:cs="Times New Roman"/>
          <w:lang w:val="ro-MD"/>
        </w:rPr>
        <w:t>activitatea</w:t>
      </w:r>
      <w:r w:rsidRPr="00FC109D">
        <w:rPr>
          <w:rFonts w:ascii="Times New Roman" w:hAnsi="Times New Roman" w:cs="Times New Roman"/>
          <w:lang w:val="ro-MD"/>
        </w:rPr>
        <w:t xml:space="preserve"> privind pregătirea specific</w:t>
      </w:r>
      <w:r w:rsidR="006F5EE4" w:rsidRPr="00FC109D">
        <w:rPr>
          <w:rFonts w:ascii="Times New Roman" w:hAnsi="Times New Roman" w:cs="Times New Roman"/>
          <w:lang w:val="ro-MD"/>
        </w:rPr>
        <w:t>ațiilor tehnice pentru viitorul</w:t>
      </w:r>
      <w:r w:rsidRPr="00FC109D">
        <w:rPr>
          <w:rFonts w:ascii="Times New Roman" w:hAnsi="Times New Roman" w:cs="Times New Roman"/>
          <w:lang w:val="ro-MD"/>
        </w:rPr>
        <w:t xml:space="preserve"> sistem a fost accelerat</w:t>
      </w:r>
      <w:r w:rsidR="006D1F56" w:rsidRPr="00FC109D">
        <w:rPr>
          <w:rFonts w:ascii="Times New Roman" w:hAnsi="Times New Roman" w:cs="Times New Roman"/>
          <w:lang w:val="ro-MD"/>
        </w:rPr>
        <w:t>ă</w:t>
      </w:r>
      <w:r w:rsidRPr="00FC109D">
        <w:rPr>
          <w:rFonts w:ascii="Times New Roman" w:hAnsi="Times New Roman" w:cs="Times New Roman"/>
          <w:lang w:val="ro-MD"/>
        </w:rPr>
        <w:t xml:space="preserve">. Proiectul </w:t>
      </w:r>
      <w:r w:rsidR="006D1F56" w:rsidRPr="00FC109D">
        <w:rPr>
          <w:rFonts w:ascii="Times New Roman" w:hAnsi="Times New Roman" w:cs="Times New Roman"/>
          <w:lang w:val="ro-MD"/>
        </w:rPr>
        <w:t xml:space="preserve">privind </w:t>
      </w:r>
      <w:r w:rsidRPr="00FC109D">
        <w:rPr>
          <w:rFonts w:ascii="Times New Roman" w:hAnsi="Times New Roman" w:cs="Times New Roman"/>
          <w:lang w:val="ro-MD"/>
        </w:rPr>
        <w:t xml:space="preserve">Reforma Climatului </w:t>
      </w:r>
      <w:r w:rsidR="006D1F56" w:rsidRPr="00FC109D">
        <w:rPr>
          <w:rFonts w:ascii="Times New Roman" w:hAnsi="Times New Roman" w:cs="Times New Roman"/>
          <w:lang w:val="ro-MD"/>
        </w:rPr>
        <w:t>Investițional</w:t>
      </w:r>
      <w:r w:rsidRPr="00FC109D">
        <w:rPr>
          <w:rFonts w:ascii="Times New Roman" w:hAnsi="Times New Roman" w:cs="Times New Roman"/>
          <w:lang w:val="ro-MD"/>
        </w:rPr>
        <w:t xml:space="preserve"> </w:t>
      </w:r>
      <w:r w:rsidR="006D1F56" w:rsidRPr="00FC109D">
        <w:rPr>
          <w:rFonts w:ascii="Times New Roman" w:hAnsi="Times New Roman" w:cs="Times New Roman"/>
          <w:lang w:val="ro-MD"/>
        </w:rPr>
        <w:t xml:space="preserve">a oferit </w:t>
      </w:r>
      <w:r w:rsidRPr="00FC109D">
        <w:rPr>
          <w:rFonts w:ascii="Times New Roman" w:hAnsi="Times New Roman" w:cs="Times New Roman"/>
          <w:lang w:val="ro-MD"/>
        </w:rPr>
        <w:t>asist</w:t>
      </w:r>
      <w:r w:rsidR="006D1F56" w:rsidRPr="00FC109D">
        <w:rPr>
          <w:rFonts w:ascii="Times New Roman" w:hAnsi="Times New Roman" w:cs="Times New Roman"/>
          <w:lang w:val="ro-MD"/>
        </w:rPr>
        <w:t>ență</w:t>
      </w:r>
      <w:r w:rsidRPr="00FC109D">
        <w:rPr>
          <w:rFonts w:ascii="Times New Roman" w:hAnsi="Times New Roman" w:cs="Times New Roman"/>
          <w:lang w:val="ro-MD"/>
        </w:rPr>
        <w:t xml:space="preserve"> în dezvoltarea </w:t>
      </w:r>
      <w:r w:rsidR="006D1F56" w:rsidRPr="00FC109D">
        <w:rPr>
          <w:rFonts w:ascii="Times New Roman" w:hAnsi="Times New Roman" w:cs="Times New Roman"/>
          <w:lang w:val="ro-MD"/>
        </w:rPr>
        <w:t xml:space="preserve">Termenilor de Referință </w:t>
      </w:r>
      <w:r w:rsidRPr="00FC109D">
        <w:rPr>
          <w:rFonts w:ascii="Times New Roman" w:hAnsi="Times New Roman" w:cs="Times New Roman"/>
          <w:lang w:val="ro-MD"/>
        </w:rPr>
        <w:t>necesar</w:t>
      </w:r>
      <w:r w:rsidR="00D172AE" w:rsidRPr="00FC109D">
        <w:rPr>
          <w:rFonts w:ascii="Times New Roman" w:hAnsi="Times New Roman" w:cs="Times New Roman"/>
          <w:lang w:val="ro-MD"/>
        </w:rPr>
        <w:t>i</w:t>
      </w:r>
      <w:r w:rsidRPr="00FC109D">
        <w:rPr>
          <w:rFonts w:ascii="Times New Roman" w:hAnsi="Times New Roman" w:cs="Times New Roman"/>
          <w:lang w:val="ro-MD"/>
        </w:rPr>
        <w:t xml:space="preserve"> pentru a lansa achiziționarea </w:t>
      </w:r>
      <w:r w:rsidR="006F5EE4" w:rsidRPr="00FC109D">
        <w:rPr>
          <w:rFonts w:ascii="Times New Roman" w:hAnsi="Times New Roman" w:cs="Times New Roman"/>
          <w:lang w:val="ro-MD"/>
        </w:rPr>
        <w:t>serviciilor de dezvoltare a soft-ului</w:t>
      </w:r>
      <w:r w:rsidRPr="00FC109D">
        <w:rPr>
          <w:rFonts w:ascii="Times New Roman" w:hAnsi="Times New Roman" w:cs="Times New Roman"/>
          <w:lang w:val="ro-MD"/>
        </w:rPr>
        <w:t xml:space="preserve">, precum și elaborarea modificărilor legislative care permit funcționarea </w:t>
      </w:r>
      <w:r w:rsidR="00272782" w:rsidRPr="00FC109D">
        <w:rPr>
          <w:rFonts w:ascii="Times New Roman" w:hAnsi="Times New Roman" w:cs="Times New Roman"/>
          <w:lang w:val="ro-MD"/>
        </w:rPr>
        <w:t>G</w:t>
      </w:r>
      <w:r w:rsidR="006D1F56" w:rsidRPr="00FC109D">
        <w:rPr>
          <w:rFonts w:ascii="Times New Roman" w:hAnsi="Times New Roman" w:cs="Times New Roman"/>
          <w:lang w:val="ro-MD"/>
        </w:rPr>
        <w:t xml:space="preserve">hișeului </w:t>
      </w:r>
      <w:r w:rsidR="00272782" w:rsidRPr="00FC109D">
        <w:rPr>
          <w:rFonts w:ascii="Times New Roman" w:hAnsi="Times New Roman" w:cs="Times New Roman"/>
          <w:lang w:val="ro-MD"/>
        </w:rPr>
        <w:t>U</w:t>
      </w:r>
      <w:r w:rsidR="006D1F56" w:rsidRPr="00FC109D">
        <w:rPr>
          <w:rFonts w:ascii="Times New Roman" w:hAnsi="Times New Roman" w:cs="Times New Roman"/>
          <w:lang w:val="ro-MD"/>
        </w:rPr>
        <w:t>nic</w:t>
      </w:r>
      <w:r w:rsidRPr="00FC109D">
        <w:rPr>
          <w:rFonts w:ascii="Times New Roman" w:hAnsi="Times New Roman" w:cs="Times New Roman"/>
          <w:lang w:val="ro-MD"/>
        </w:rPr>
        <w:t>.</w:t>
      </w:r>
    </w:p>
    <w:p w14:paraId="78B552C5" w14:textId="54863DC7" w:rsidR="008C583D" w:rsidRPr="00FC109D" w:rsidRDefault="00F74963" w:rsidP="002C7C89">
      <w:pPr>
        <w:jc w:val="both"/>
        <w:rPr>
          <w:rFonts w:ascii="Times New Roman" w:hAnsi="Times New Roman" w:cs="Times New Roman"/>
          <w:lang w:val="ro-MD"/>
        </w:rPr>
      </w:pPr>
      <w:r w:rsidRPr="00FC109D">
        <w:rPr>
          <w:rFonts w:ascii="Times New Roman" w:hAnsi="Times New Roman" w:cs="Times New Roman"/>
          <w:lang w:val="ro-MD"/>
        </w:rPr>
        <w:t xml:space="preserve">Specificațiile tehnice pentru ghișeul unic au fost consultate cu </w:t>
      </w:r>
      <w:r w:rsidR="005B057C" w:rsidRPr="00FC109D">
        <w:rPr>
          <w:rFonts w:ascii="Times New Roman" w:hAnsi="Times New Roman" w:cs="Times New Roman"/>
          <w:lang w:val="ro-MD"/>
        </w:rPr>
        <w:t xml:space="preserve">responsabili de la </w:t>
      </w:r>
      <w:r w:rsidRPr="00FC109D">
        <w:rPr>
          <w:rFonts w:ascii="Times New Roman" w:hAnsi="Times New Roman" w:cs="Times New Roman"/>
          <w:lang w:val="ro-MD"/>
        </w:rPr>
        <w:t>Ministerul Economiei, Centrul E-</w:t>
      </w:r>
      <w:proofErr w:type="spellStart"/>
      <w:r w:rsidRPr="00FC109D">
        <w:rPr>
          <w:rFonts w:ascii="Times New Roman" w:hAnsi="Times New Roman" w:cs="Times New Roman"/>
          <w:lang w:val="ro-MD"/>
        </w:rPr>
        <w:t>Gov</w:t>
      </w:r>
      <w:proofErr w:type="spellEnd"/>
      <w:r w:rsidRPr="00FC109D">
        <w:rPr>
          <w:rFonts w:ascii="Times New Roman" w:hAnsi="Times New Roman" w:cs="Times New Roman"/>
          <w:lang w:val="ro-MD"/>
        </w:rPr>
        <w:t>, precum și Ministerul Tehnologiilor Informaționale. Toate părțile au fost de acord să participe la evaluarea propunerilor tehnice. La mijlocul lunii iulie</w:t>
      </w:r>
      <w:r w:rsidRPr="00FC109D">
        <w:rPr>
          <w:rFonts w:ascii="Times New Roman" w:hAnsi="Times New Roman" w:cs="Times New Roman"/>
          <w:color w:val="000000" w:themeColor="text1"/>
          <w:lang w:val="ro-MD"/>
        </w:rPr>
        <w:t xml:space="preserve">, </w:t>
      </w:r>
      <w:r w:rsidR="005B057C" w:rsidRPr="00FC109D">
        <w:rPr>
          <w:rFonts w:ascii="Times New Roman" w:hAnsi="Times New Roman" w:cs="Times New Roman"/>
          <w:color w:val="000000" w:themeColor="text1"/>
          <w:lang w:val="ro-MD"/>
        </w:rPr>
        <w:t>C</w:t>
      </w:r>
      <w:r w:rsidR="006F5EE4" w:rsidRPr="00FC109D">
        <w:rPr>
          <w:rFonts w:ascii="Times New Roman" w:hAnsi="Times New Roman" w:cs="Times New Roman"/>
          <w:color w:val="000000" w:themeColor="text1"/>
          <w:lang w:val="ro-MD"/>
        </w:rPr>
        <w:t xml:space="preserve">ererea </w:t>
      </w:r>
      <w:r w:rsidR="005B057C" w:rsidRPr="00FC109D">
        <w:rPr>
          <w:rFonts w:ascii="Times New Roman" w:hAnsi="Times New Roman" w:cs="Times New Roman"/>
          <w:color w:val="000000" w:themeColor="text1"/>
          <w:lang w:val="ro-MD"/>
        </w:rPr>
        <w:t xml:space="preserve">de </w:t>
      </w:r>
      <w:r w:rsidR="005E6A42" w:rsidRPr="00FC109D">
        <w:rPr>
          <w:rFonts w:ascii="Times New Roman" w:hAnsi="Times New Roman" w:cs="Times New Roman"/>
          <w:color w:val="000000" w:themeColor="text1"/>
          <w:lang w:val="ro-MD"/>
        </w:rPr>
        <w:t>exprimare a interesului</w:t>
      </w:r>
      <w:r w:rsidR="005B057C" w:rsidRPr="00FC109D">
        <w:rPr>
          <w:rFonts w:ascii="Times New Roman" w:hAnsi="Times New Roman" w:cs="Times New Roman"/>
          <w:color w:val="000000" w:themeColor="text1"/>
          <w:lang w:val="ro-MD"/>
        </w:rPr>
        <w:t xml:space="preserve"> </w:t>
      </w:r>
      <w:r w:rsidRPr="00FC109D">
        <w:rPr>
          <w:rFonts w:ascii="Times New Roman" w:hAnsi="Times New Roman" w:cs="Times New Roman"/>
          <w:lang w:val="ro-MD"/>
        </w:rPr>
        <w:t xml:space="preserve">pentru </w:t>
      </w:r>
      <w:r w:rsidR="005B057C" w:rsidRPr="00FC109D">
        <w:rPr>
          <w:rFonts w:ascii="Times New Roman" w:hAnsi="Times New Roman" w:cs="Times New Roman"/>
          <w:lang w:val="ro-MD"/>
        </w:rPr>
        <w:t>G</w:t>
      </w:r>
      <w:r w:rsidR="00E14ABA" w:rsidRPr="00FC109D">
        <w:rPr>
          <w:rFonts w:ascii="Times New Roman" w:hAnsi="Times New Roman" w:cs="Times New Roman"/>
          <w:lang w:val="ro-MD"/>
        </w:rPr>
        <w:t>hi</w:t>
      </w:r>
      <w:r w:rsidR="00D172AE" w:rsidRPr="00FC109D">
        <w:rPr>
          <w:rFonts w:ascii="Times New Roman" w:hAnsi="Times New Roman" w:cs="Times New Roman"/>
          <w:lang w:val="ro-MD"/>
        </w:rPr>
        <w:t>ș</w:t>
      </w:r>
      <w:r w:rsidR="00E14ABA" w:rsidRPr="00FC109D">
        <w:rPr>
          <w:rFonts w:ascii="Times New Roman" w:hAnsi="Times New Roman" w:cs="Times New Roman"/>
          <w:lang w:val="ro-MD"/>
        </w:rPr>
        <w:t xml:space="preserve">eul </w:t>
      </w:r>
      <w:r w:rsidR="005B057C" w:rsidRPr="00FC109D">
        <w:rPr>
          <w:rFonts w:ascii="Times New Roman" w:hAnsi="Times New Roman" w:cs="Times New Roman"/>
          <w:lang w:val="ro-MD"/>
        </w:rPr>
        <w:t>U</w:t>
      </w:r>
      <w:r w:rsidR="00E14ABA" w:rsidRPr="00FC109D">
        <w:rPr>
          <w:rFonts w:ascii="Times New Roman" w:hAnsi="Times New Roman" w:cs="Times New Roman"/>
          <w:lang w:val="ro-MD"/>
        </w:rPr>
        <w:t>nic</w:t>
      </w:r>
      <w:r w:rsidRPr="00FC109D">
        <w:rPr>
          <w:rFonts w:ascii="Times New Roman" w:hAnsi="Times New Roman" w:cs="Times New Roman"/>
          <w:lang w:val="ro-MD"/>
        </w:rPr>
        <w:t xml:space="preserve"> a fost publicat</w:t>
      </w:r>
      <w:r w:rsidR="00B0175F" w:rsidRPr="00FC109D">
        <w:rPr>
          <w:rFonts w:ascii="Times New Roman" w:hAnsi="Times New Roman" w:cs="Times New Roman"/>
          <w:lang w:val="ro-MD"/>
        </w:rPr>
        <w:t>ă, iar</w:t>
      </w:r>
      <w:r w:rsidRPr="00FC109D">
        <w:rPr>
          <w:rFonts w:ascii="Times New Roman" w:hAnsi="Times New Roman" w:cs="Times New Roman"/>
          <w:lang w:val="ro-MD"/>
        </w:rPr>
        <w:t xml:space="preserve"> pe 10 august (termenul limită), </w:t>
      </w:r>
      <w:r w:rsidR="00272782" w:rsidRPr="00FC109D">
        <w:rPr>
          <w:rFonts w:ascii="Times New Roman" w:hAnsi="Times New Roman" w:cs="Times New Roman"/>
          <w:lang w:val="ro-MD"/>
        </w:rPr>
        <w:t>U</w:t>
      </w:r>
      <w:r w:rsidR="0040601F" w:rsidRPr="00FC109D">
        <w:rPr>
          <w:rFonts w:ascii="Times New Roman" w:hAnsi="Times New Roman" w:cs="Times New Roman"/>
          <w:lang w:val="ro-MD"/>
        </w:rPr>
        <w:t>nitatea</w:t>
      </w:r>
      <w:r w:rsidRPr="00FC109D">
        <w:rPr>
          <w:rFonts w:ascii="Times New Roman" w:hAnsi="Times New Roman" w:cs="Times New Roman"/>
          <w:lang w:val="ro-MD"/>
        </w:rPr>
        <w:t xml:space="preserve"> a confirmat </w:t>
      </w:r>
      <w:r w:rsidR="00A56AFC" w:rsidRPr="00FC109D">
        <w:rPr>
          <w:rFonts w:ascii="Times New Roman" w:hAnsi="Times New Roman" w:cs="Times New Roman"/>
          <w:lang w:val="ro-MD"/>
        </w:rPr>
        <w:t>recepțio</w:t>
      </w:r>
      <w:r w:rsidR="00B0175F" w:rsidRPr="00FC109D">
        <w:rPr>
          <w:rFonts w:ascii="Times New Roman" w:hAnsi="Times New Roman" w:cs="Times New Roman"/>
          <w:lang w:val="ro-MD"/>
        </w:rPr>
        <w:t>n</w:t>
      </w:r>
      <w:r w:rsidR="00A56AFC" w:rsidRPr="00FC109D">
        <w:rPr>
          <w:rFonts w:ascii="Times New Roman" w:hAnsi="Times New Roman" w:cs="Times New Roman"/>
          <w:lang w:val="ro-MD"/>
        </w:rPr>
        <w:t>a</w:t>
      </w:r>
      <w:r w:rsidR="00B0175F" w:rsidRPr="00FC109D">
        <w:rPr>
          <w:rFonts w:ascii="Times New Roman" w:hAnsi="Times New Roman" w:cs="Times New Roman"/>
          <w:lang w:val="ro-MD"/>
        </w:rPr>
        <w:t>rea</w:t>
      </w:r>
      <w:r w:rsidRPr="00FC109D">
        <w:rPr>
          <w:rFonts w:ascii="Times New Roman" w:hAnsi="Times New Roman" w:cs="Times New Roman"/>
          <w:lang w:val="ro-MD"/>
        </w:rPr>
        <w:t xml:space="preserve"> a șaisprezece (!) </w:t>
      </w:r>
      <w:r w:rsidR="00E14ABA" w:rsidRPr="00FC109D">
        <w:rPr>
          <w:rFonts w:ascii="Times New Roman" w:hAnsi="Times New Roman" w:cs="Times New Roman"/>
          <w:lang w:val="ro-MD"/>
        </w:rPr>
        <w:t>propuneri tehnice</w:t>
      </w:r>
      <w:r w:rsidRPr="00FC109D">
        <w:rPr>
          <w:rFonts w:ascii="Times New Roman" w:hAnsi="Times New Roman" w:cs="Times New Roman"/>
          <w:lang w:val="ro-MD"/>
        </w:rPr>
        <w:t>.</w:t>
      </w:r>
    </w:p>
    <w:p w14:paraId="1759B752" w14:textId="0AE1C90E" w:rsidR="00AB7FAC" w:rsidRPr="00FC109D" w:rsidRDefault="005F6DC9" w:rsidP="00FC109D">
      <w:pPr>
        <w:spacing w:after="120"/>
        <w:jc w:val="both"/>
        <w:rPr>
          <w:rFonts w:ascii="Times New Roman" w:hAnsi="Times New Roman" w:cs="Times New Roman"/>
          <w:lang w:val="ro-MD"/>
        </w:rPr>
      </w:pPr>
      <w:r w:rsidRPr="00FC109D">
        <w:rPr>
          <w:rFonts w:ascii="Times New Roman" w:hAnsi="Times New Roman" w:cs="Times New Roman"/>
          <w:lang w:val="ro-MD"/>
        </w:rPr>
        <w:t>Evaluarea propunerilor a durat mai mult decât s</w:t>
      </w:r>
      <w:r w:rsidR="00D172AE" w:rsidRPr="00FC109D">
        <w:rPr>
          <w:rFonts w:ascii="Times New Roman" w:hAnsi="Times New Roman" w:cs="Times New Roman"/>
          <w:lang w:val="ro-MD"/>
        </w:rPr>
        <w:t>-</w:t>
      </w:r>
      <w:r w:rsidR="00272782" w:rsidRPr="00FC109D">
        <w:rPr>
          <w:rFonts w:ascii="Times New Roman" w:hAnsi="Times New Roman" w:cs="Times New Roman"/>
          <w:lang w:val="ro-MD"/>
        </w:rPr>
        <w:t>a</w:t>
      </w:r>
      <w:r w:rsidRPr="00FC109D">
        <w:rPr>
          <w:rFonts w:ascii="Times New Roman" w:hAnsi="Times New Roman" w:cs="Times New Roman"/>
          <w:lang w:val="ro-MD"/>
        </w:rPr>
        <w:t xml:space="preserve"> aștepta</w:t>
      </w:r>
      <w:r w:rsidR="00272782" w:rsidRPr="00FC109D">
        <w:rPr>
          <w:rFonts w:ascii="Times New Roman" w:hAnsi="Times New Roman" w:cs="Times New Roman"/>
          <w:lang w:val="ro-MD"/>
        </w:rPr>
        <w:t>t</w:t>
      </w:r>
      <w:r w:rsidRPr="00FC109D">
        <w:rPr>
          <w:rFonts w:ascii="Times New Roman" w:hAnsi="Times New Roman" w:cs="Times New Roman"/>
          <w:lang w:val="ro-MD"/>
        </w:rPr>
        <w:t xml:space="preserve"> din cauza numărului </w:t>
      </w:r>
      <w:r w:rsidR="001C6302" w:rsidRPr="00FC109D">
        <w:rPr>
          <w:rFonts w:ascii="Times New Roman" w:hAnsi="Times New Roman" w:cs="Times New Roman"/>
          <w:lang w:val="ro-MD"/>
        </w:rPr>
        <w:t xml:space="preserve">mare de </w:t>
      </w:r>
      <w:proofErr w:type="spellStart"/>
      <w:r w:rsidR="001C6302" w:rsidRPr="00FC109D">
        <w:rPr>
          <w:rFonts w:ascii="Times New Roman" w:hAnsi="Times New Roman" w:cs="Times New Roman"/>
          <w:lang w:val="ro-MD"/>
        </w:rPr>
        <w:t>participanţi</w:t>
      </w:r>
      <w:proofErr w:type="spellEnd"/>
      <w:r w:rsidR="001C6302" w:rsidRPr="00FC109D">
        <w:rPr>
          <w:rFonts w:ascii="Times New Roman" w:hAnsi="Times New Roman" w:cs="Times New Roman"/>
          <w:lang w:val="ro-MD"/>
        </w:rPr>
        <w:t xml:space="preserve">. </w:t>
      </w:r>
      <w:r w:rsidR="005B057C" w:rsidRPr="00FC109D">
        <w:rPr>
          <w:rFonts w:ascii="Times New Roman" w:hAnsi="Times New Roman" w:cs="Times New Roman"/>
          <w:lang w:val="ro-MD"/>
        </w:rPr>
        <w:t>Chiar și așa,</w:t>
      </w:r>
      <w:r w:rsidRPr="00FC109D">
        <w:rPr>
          <w:rFonts w:ascii="Times New Roman" w:hAnsi="Times New Roman" w:cs="Times New Roman"/>
          <w:lang w:val="ro-MD"/>
        </w:rPr>
        <w:t xml:space="preserve"> în ultima săptămână a lunii septembrie, lista scurtă a fost </w:t>
      </w:r>
      <w:r w:rsidR="001C6302" w:rsidRPr="00FC109D">
        <w:rPr>
          <w:rFonts w:ascii="Times New Roman" w:hAnsi="Times New Roman" w:cs="Times New Roman"/>
          <w:lang w:val="ro-MD"/>
        </w:rPr>
        <w:t>evaluată de Banca Mondială</w:t>
      </w:r>
      <w:r w:rsidRPr="00FC109D">
        <w:rPr>
          <w:rFonts w:ascii="Times New Roman" w:hAnsi="Times New Roman" w:cs="Times New Roman"/>
          <w:lang w:val="ro-MD"/>
        </w:rPr>
        <w:t xml:space="preserve">, iar </w:t>
      </w:r>
      <w:r w:rsidR="0040601F" w:rsidRPr="00FC109D">
        <w:rPr>
          <w:rFonts w:ascii="Times New Roman" w:hAnsi="Times New Roman" w:cs="Times New Roman"/>
          <w:lang w:val="ro-MD"/>
        </w:rPr>
        <w:t>Unitatea</w:t>
      </w:r>
      <w:r w:rsidRPr="00FC109D">
        <w:rPr>
          <w:rFonts w:ascii="Times New Roman" w:hAnsi="Times New Roman" w:cs="Times New Roman"/>
          <w:lang w:val="ro-MD"/>
        </w:rPr>
        <w:t xml:space="preserve"> a emis </w:t>
      </w:r>
      <w:r w:rsidR="00B0175F" w:rsidRPr="00FC109D">
        <w:rPr>
          <w:rFonts w:ascii="Times New Roman" w:hAnsi="Times New Roman" w:cs="Times New Roman"/>
          <w:lang w:val="ro-MD"/>
        </w:rPr>
        <w:t>cererea de ofertă pentru</w:t>
      </w:r>
      <w:r w:rsidRPr="00FC109D">
        <w:rPr>
          <w:rFonts w:ascii="Times New Roman" w:hAnsi="Times New Roman" w:cs="Times New Roman"/>
          <w:lang w:val="ro-MD"/>
        </w:rPr>
        <w:t xml:space="preserve"> șase companii </w:t>
      </w:r>
      <w:r w:rsidR="001C6302" w:rsidRPr="00FC109D">
        <w:rPr>
          <w:rFonts w:ascii="Times New Roman" w:hAnsi="Times New Roman" w:cs="Times New Roman"/>
          <w:lang w:val="ro-MD"/>
        </w:rPr>
        <w:t>incluse in lista scurtă</w:t>
      </w:r>
      <w:r w:rsidRPr="00FC109D">
        <w:rPr>
          <w:rFonts w:ascii="Times New Roman" w:hAnsi="Times New Roman" w:cs="Times New Roman"/>
          <w:lang w:val="ro-MD"/>
        </w:rPr>
        <w:t xml:space="preserve">. Termenul limită </w:t>
      </w:r>
      <w:r w:rsidR="001C6302" w:rsidRPr="00FC109D">
        <w:rPr>
          <w:rFonts w:ascii="Times New Roman" w:hAnsi="Times New Roman" w:cs="Times New Roman"/>
          <w:lang w:val="ro-MD"/>
        </w:rPr>
        <w:t>de</w:t>
      </w:r>
      <w:r w:rsidRPr="00FC109D">
        <w:rPr>
          <w:rFonts w:ascii="Times New Roman" w:hAnsi="Times New Roman" w:cs="Times New Roman"/>
          <w:lang w:val="ro-MD"/>
        </w:rPr>
        <w:t xml:space="preserve"> depunere</w:t>
      </w:r>
      <w:r w:rsidR="001C6302" w:rsidRPr="00FC109D">
        <w:rPr>
          <w:rFonts w:ascii="Times New Roman" w:hAnsi="Times New Roman" w:cs="Times New Roman"/>
          <w:lang w:val="ro-MD"/>
        </w:rPr>
        <w:t xml:space="preserve"> </w:t>
      </w:r>
      <w:r w:rsidRPr="00FC109D">
        <w:rPr>
          <w:rFonts w:ascii="Times New Roman" w:hAnsi="Times New Roman" w:cs="Times New Roman"/>
          <w:lang w:val="ro-MD"/>
        </w:rPr>
        <w:t xml:space="preserve">a propunerilor tehnice și financiare </w:t>
      </w:r>
      <w:r w:rsidR="005B057C" w:rsidRPr="00FC109D">
        <w:rPr>
          <w:rFonts w:ascii="Times New Roman" w:hAnsi="Times New Roman" w:cs="Times New Roman"/>
          <w:lang w:val="ro-MD"/>
        </w:rPr>
        <w:t xml:space="preserve">a fost </w:t>
      </w:r>
      <w:r w:rsidRPr="00FC109D">
        <w:rPr>
          <w:rFonts w:ascii="Times New Roman" w:hAnsi="Times New Roman" w:cs="Times New Roman"/>
          <w:lang w:val="ro-MD"/>
        </w:rPr>
        <w:t xml:space="preserve"> 31 octombrie 2016</w:t>
      </w:r>
      <w:r w:rsidR="004405DF" w:rsidRPr="00FC109D">
        <w:rPr>
          <w:rFonts w:ascii="Times New Roman" w:hAnsi="Times New Roman" w:cs="Times New Roman"/>
          <w:lang w:val="ro-MD"/>
        </w:rPr>
        <w:t xml:space="preserve"> Proiectul va acoperi costurile necesare pentru programul soft </w:t>
      </w:r>
      <w:r w:rsidR="00FB11F5" w:rsidRPr="00FC109D">
        <w:rPr>
          <w:rFonts w:ascii="Times New Roman" w:hAnsi="Times New Roman" w:cs="Times New Roman"/>
          <w:lang w:val="ro-MD"/>
        </w:rPr>
        <w:t xml:space="preserve">al </w:t>
      </w:r>
      <w:r w:rsidR="00272782" w:rsidRPr="00FC109D">
        <w:rPr>
          <w:rFonts w:ascii="Times New Roman" w:hAnsi="Times New Roman" w:cs="Times New Roman"/>
          <w:lang w:val="ro-MD"/>
        </w:rPr>
        <w:t>G</w:t>
      </w:r>
      <w:r w:rsidR="00FB11F5" w:rsidRPr="00FC109D">
        <w:rPr>
          <w:rFonts w:ascii="Times New Roman" w:hAnsi="Times New Roman" w:cs="Times New Roman"/>
          <w:lang w:val="ro-MD"/>
        </w:rPr>
        <w:t xml:space="preserve">hișeului </w:t>
      </w:r>
      <w:r w:rsidR="00272782" w:rsidRPr="00FC109D">
        <w:rPr>
          <w:rFonts w:ascii="Times New Roman" w:hAnsi="Times New Roman" w:cs="Times New Roman"/>
          <w:lang w:val="ro-MD"/>
        </w:rPr>
        <w:t>U</w:t>
      </w:r>
      <w:r w:rsidR="00FB11F5" w:rsidRPr="00FC109D">
        <w:rPr>
          <w:rFonts w:ascii="Times New Roman" w:hAnsi="Times New Roman" w:cs="Times New Roman"/>
          <w:lang w:val="ro-MD"/>
        </w:rPr>
        <w:t>nic</w:t>
      </w:r>
      <w:r w:rsidR="004405DF" w:rsidRPr="00FC109D">
        <w:rPr>
          <w:rFonts w:ascii="Times New Roman" w:hAnsi="Times New Roman" w:cs="Times New Roman"/>
          <w:lang w:val="ro-MD"/>
        </w:rPr>
        <w:t xml:space="preserve"> și </w:t>
      </w:r>
      <w:r w:rsidR="00FB11F5" w:rsidRPr="00FC109D">
        <w:rPr>
          <w:rFonts w:ascii="Times New Roman" w:hAnsi="Times New Roman" w:cs="Times New Roman"/>
          <w:lang w:val="ro-MD"/>
        </w:rPr>
        <w:t xml:space="preserve">echipamente </w:t>
      </w:r>
      <w:r w:rsidR="00272782" w:rsidRPr="00FC109D">
        <w:rPr>
          <w:rFonts w:ascii="Times New Roman" w:hAnsi="Times New Roman" w:cs="Times New Roman"/>
          <w:lang w:val="ro-MD"/>
        </w:rPr>
        <w:t>în valoare de</w:t>
      </w:r>
      <w:r w:rsidR="001C6302" w:rsidRPr="00FC109D">
        <w:rPr>
          <w:rFonts w:ascii="Times New Roman" w:hAnsi="Times New Roman" w:cs="Times New Roman"/>
          <w:lang w:val="ro-MD"/>
        </w:rPr>
        <w:t xml:space="preserve"> </w:t>
      </w:r>
      <w:r w:rsidR="004405DF" w:rsidRPr="00FC109D">
        <w:rPr>
          <w:rFonts w:ascii="Times New Roman" w:hAnsi="Times New Roman" w:cs="Times New Roman"/>
          <w:lang w:val="ro-MD"/>
        </w:rPr>
        <w:t xml:space="preserve">1,1 milioane </w:t>
      </w:r>
      <w:r w:rsidR="00FB11F5" w:rsidRPr="00FC109D">
        <w:rPr>
          <w:rFonts w:ascii="Times New Roman" w:hAnsi="Times New Roman" w:cs="Times New Roman"/>
          <w:lang w:val="ro-MD"/>
        </w:rPr>
        <w:t>USD</w:t>
      </w:r>
      <w:r w:rsidR="004405DF" w:rsidRPr="00FC109D">
        <w:rPr>
          <w:rFonts w:ascii="Times New Roman" w:hAnsi="Times New Roman" w:cs="Times New Roman"/>
          <w:lang w:val="ro-MD"/>
        </w:rPr>
        <w:t>.</w:t>
      </w:r>
      <w:r w:rsidR="00F74963" w:rsidRPr="00FC109D">
        <w:rPr>
          <w:rFonts w:ascii="Times New Roman" w:hAnsi="Times New Roman" w:cs="Times New Roman"/>
          <w:lang w:val="ro-MD"/>
        </w:rPr>
        <w:t xml:space="preserve"> </w:t>
      </w:r>
    </w:p>
    <w:p w14:paraId="41E5ECD5" w14:textId="57CFE317" w:rsidR="00D80763" w:rsidRPr="00FC109D" w:rsidRDefault="00FB11F5" w:rsidP="002C7C89">
      <w:pPr>
        <w:jc w:val="both"/>
        <w:rPr>
          <w:rFonts w:ascii="Times New Roman" w:hAnsi="Times New Roman" w:cs="Times New Roman"/>
          <w:lang w:val="ro-MD"/>
        </w:rPr>
      </w:pPr>
      <w:r w:rsidRPr="00FC109D">
        <w:rPr>
          <w:rFonts w:ascii="Times New Roman" w:hAnsi="Times New Roman" w:cs="Times New Roman"/>
          <w:b/>
          <w:lang w:val="ro-MD"/>
        </w:rPr>
        <w:lastRenderedPageBreak/>
        <w:t>Instruire</w:t>
      </w:r>
      <w:r w:rsidR="00B0175F" w:rsidRPr="00FC109D">
        <w:rPr>
          <w:rFonts w:ascii="Times New Roman" w:hAnsi="Times New Roman" w:cs="Times New Roman"/>
          <w:b/>
          <w:lang w:val="ro-MD"/>
        </w:rPr>
        <w:t>a</w:t>
      </w:r>
      <w:r w:rsidRPr="00FC109D">
        <w:rPr>
          <w:rFonts w:ascii="Times New Roman" w:hAnsi="Times New Roman" w:cs="Times New Roman"/>
          <w:b/>
          <w:lang w:val="ro-MD"/>
        </w:rPr>
        <w:t xml:space="preserve"> </w:t>
      </w:r>
      <w:r w:rsidR="00B0175F" w:rsidRPr="00FC109D">
        <w:rPr>
          <w:rFonts w:ascii="Times New Roman" w:hAnsi="Times New Roman" w:cs="Times New Roman"/>
          <w:b/>
          <w:lang w:val="ro-MD"/>
        </w:rPr>
        <w:t xml:space="preserve">în domeniul concurenței </w:t>
      </w:r>
      <w:r w:rsidRPr="00FC109D">
        <w:rPr>
          <w:rFonts w:ascii="Times New Roman" w:hAnsi="Times New Roman" w:cs="Times New Roman"/>
          <w:b/>
          <w:lang w:val="ro-MD"/>
        </w:rPr>
        <w:t>pentru judecători.</w:t>
      </w:r>
      <w:r w:rsidRPr="00FC109D">
        <w:rPr>
          <w:rFonts w:ascii="Times New Roman" w:hAnsi="Times New Roman" w:cs="Times New Roman"/>
          <w:lang w:val="ro-MD"/>
        </w:rPr>
        <w:t xml:space="preserve"> Proiectul va sprijini Consiliul Concurenței în  organizarea cursurilor </w:t>
      </w:r>
      <w:r w:rsidR="00B0175F" w:rsidRPr="00FC109D">
        <w:rPr>
          <w:rFonts w:ascii="Times New Roman" w:hAnsi="Times New Roman" w:cs="Times New Roman"/>
          <w:lang w:val="ro-MD"/>
        </w:rPr>
        <w:t xml:space="preserve">de instruire </w:t>
      </w:r>
      <w:r w:rsidRPr="00FC109D">
        <w:rPr>
          <w:rFonts w:ascii="Times New Roman" w:hAnsi="Times New Roman" w:cs="Times New Roman"/>
          <w:lang w:val="ro-MD"/>
        </w:rPr>
        <w:t>pentru judecători</w:t>
      </w:r>
      <w:r w:rsidR="00272782" w:rsidRPr="00FC109D">
        <w:rPr>
          <w:rFonts w:ascii="Times New Roman" w:hAnsi="Times New Roman" w:cs="Times New Roman"/>
          <w:lang w:val="ro-MD"/>
        </w:rPr>
        <w:t>i care examinează dosare</w:t>
      </w:r>
      <w:r w:rsidRPr="00FC109D">
        <w:rPr>
          <w:rFonts w:ascii="Times New Roman" w:hAnsi="Times New Roman" w:cs="Times New Roman"/>
          <w:lang w:val="ro-MD"/>
        </w:rPr>
        <w:t xml:space="preserve"> în probleme de concurență. Procesul de selecție a fost finalizat în luna august, contractul fiind atribuit unui consorțiu de experți din România, Belgia și Slovenia. </w:t>
      </w:r>
      <w:r w:rsidR="00D1746F" w:rsidRPr="00FC109D">
        <w:rPr>
          <w:rFonts w:ascii="Times New Roman" w:hAnsi="Times New Roman" w:cs="Times New Roman"/>
          <w:lang w:val="ro-MD"/>
        </w:rPr>
        <w:t>Desfășurarea cursurilor a fost planificată</w:t>
      </w:r>
      <w:r w:rsidR="005E6A42" w:rsidRPr="00FC109D">
        <w:rPr>
          <w:rFonts w:ascii="Times New Roman" w:hAnsi="Times New Roman" w:cs="Times New Roman"/>
          <w:lang w:val="ro-MD"/>
        </w:rPr>
        <w:t xml:space="preserve"> în perioada de </w:t>
      </w:r>
      <w:r w:rsidRPr="00FC109D">
        <w:rPr>
          <w:rFonts w:ascii="Times New Roman" w:hAnsi="Times New Roman" w:cs="Times New Roman"/>
          <w:lang w:val="ro-MD"/>
        </w:rPr>
        <w:t>până la sfârșitul an</w:t>
      </w:r>
      <w:r w:rsidR="00D1746F" w:rsidRPr="00FC109D">
        <w:rPr>
          <w:rFonts w:ascii="Times New Roman" w:hAnsi="Times New Roman" w:cs="Times New Roman"/>
          <w:lang w:val="ro-MD"/>
        </w:rPr>
        <w:t>ului curent</w:t>
      </w:r>
      <w:r w:rsidRPr="00FC109D">
        <w:rPr>
          <w:rFonts w:ascii="Times New Roman" w:hAnsi="Times New Roman" w:cs="Times New Roman"/>
          <w:lang w:val="ro-MD"/>
        </w:rPr>
        <w:t xml:space="preserve">, dar, în </w:t>
      </w:r>
      <w:r w:rsidR="00B0175F" w:rsidRPr="00FC109D">
        <w:rPr>
          <w:rFonts w:ascii="Times New Roman" w:hAnsi="Times New Roman" w:cs="Times New Roman"/>
          <w:lang w:val="ro-MD"/>
        </w:rPr>
        <w:t>pofida</w:t>
      </w:r>
      <w:r w:rsidRPr="00FC109D">
        <w:rPr>
          <w:rFonts w:ascii="Times New Roman" w:hAnsi="Times New Roman" w:cs="Times New Roman"/>
          <w:lang w:val="ro-MD"/>
        </w:rPr>
        <w:t xml:space="preserve"> încercărilor efectuate de către Consultant și Consiliul Concurenței, </w:t>
      </w:r>
      <w:r w:rsidR="00B0175F" w:rsidRPr="00FC109D">
        <w:rPr>
          <w:rFonts w:ascii="Times New Roman" w:hAnsi="Times New Roman" w:cs="Times New Roman"/>
          <w:lang w:val="ro-MD"/>
        </w:rPr>
        <w:t>Consiliul Superior al</w:t>
      </w:r>
      <w:r w:rsidRPr="00FC109D">
        <w:rPr>
          <w:rFonts w:ascii="Times New Roman" w:hAnsi="Times New Roman" w:cs="Times New Roman"/>
          <w:lang w:val="ro-MD"/>
        </w:rPr>
        <w:t xml:space="preserve"> Magistraturii (CSM) nu a </w:t>
      </w:r>
      <w:r w:rsidR="00D1746F" w:rsidRPr="00FC109D">
        <w:rPr>
          <w:rFonts w:ascii="Times New Roman" w:hAnsi="Times New Roman" w:cs="Times New Roman"/>
          <w:lang w:val="ro-MD"/>
        </w:rPr>
        <w:t xml:space="preserve">oferit </w:t>
      </w:r>
      <w:r w:rsidRPr="00FC109D">
        <w:rPr>
          <w:rFonts w:ascii="Times New Roman" w:hAnsi="Times New Roman" w:cs="Times New Roman"/>
          <w:lang w:val="ro-MD"/>
        </w:rPr>
        <w:t xml:space="preserve"> un spațiu </w:t>
      </w:r>
      <w:r w:rsidR="00B0175F" w:rsidRPr="00FC109D">
        <w:rPr>
          <w:rFonts w:ascii="Times New Roman" w:hAnsi="Times New Roman" w:cs="Times New Roman"/>
          <w:lang w:val="ro-MD"/>
        </w:rPr>
        <w:t>pentru instruiri</w:t>
      </w:r>
      <w:r w:rsidRPr="00FC109D">
        <w:rPr>
          <w:rFonts w:ascii="Times New Roman" w:hAnsi="Times New Roman" w:cs="Times New Roman"/>
          <w:lang w:val="ro-MD"/>
        </w:rPr>
        <w:t xml:space="preserve">, </w:t>
      </w:r>
      <w:r w:rsidR="00D1746F" w:rsidRPr="00FC109D">
        <w:rPr>
          <w:rFonts w:ascii="Times New Roman" w:hAnsi="Times New Roman" w:cs="Times New Roman"/>
          <w:lang w:val="ro-MD"/>
        </w:rPr>
        <w:t xml:space="preserve">motivând că instruirile </w:t>
      </w:r>
      <w:r w:rsidRPr="00FC109D">
        <w:rPr>
          <w:rFonts w:ascii="Times New Roman" w:hAnsi="Times New Roman" w:cs="Times New Roman"/>
          <w:lang w:val="ro-MD"/>
        </w:rPr>
        <w:t xml:space="preserve"> </w:t>
      </w:r>
      <w:r w:rsidR="007E011C" w:rsidRPr="00FC109D">
        <w:rPr>
          <w:rFonts w:ascii="Times New Roman" w:hAnsi="Times New Roman" w:cs="Times New Roman"/>
          <w:lang w:val="ro-MD"/>
        </w:rPr>
        <w:t>nu a</w:t>
      </w:r>
      <w:r w:rsidR="00D1746F" w:rsidRPr="00FC109D">
        <w:rPr>
          <w:rFonts w:ascii="Times New Roman" w:hAnsi="Times New Roman" w:cs="Times New Roman"/>
          <w:lang w:val="ro-MD"/>
        </w:rPr>
        <w:t>u</w:t>
      </w:r>
      <w:r w:rsidR="007E011C" w:rsidRPr="00FC109D">
        <w:rPr>
          <w:rFonts w:ascii="Times New Roman" w:hAnsi="Times New Roman" w:cs="Times New Roman"/>
          <w:lang w:val="ro-MD"/>
        </w:rPr>
        <w:t xml:space="preserve"> fost inclus</w:t>
      </w:r>
      <w:r w:rsidR="00D1746F" w:rsidRPr="00FC109D">
        <w:rPr>
          <w:rFonts w:ascii="Times New Roman" w:hAnsi="Times New Roman" w:cs="Times New Roman"/>
          <w:lang w:val="ro-MD"/>
        </w:rPr>
        <w:t>e</w:t>
      </w:r>
      <w:r w:rsidRPr="00FC109D">
        <w:rPr>
          <w:rFonts w:ascii="Times New Roman" w:hAnsi="Times New Roman" w:cs="Times New Roman"/>
          <w:lang w:val="ro-MD"/>
        </w:rPr>
        <w:t xml:space="preserve"> în agenda anuală a instruirilor </w:t>
      </w:r>
      <w:r w:rsidR="00832361" w:rsidRPr="00FC109D">
        <w:rPr>
          <w:rFonts w:ascii="Times New Roman" w:hAnsi="Times New Roman" w:cs="Times New Roman"/>
          <w:lang w:val="ro-MD"/>
        </w:rPr>
        <w:t xml:space="preserve">pentru anul </w:t>
      </w:r>
      <w:r w:rsidR="00B0175F" w:rsidRPr="00FC109D">
        <w:rPr>
          <w:rFonts w:ascii="Times New Roman" w:hAnsi="Times New Roman" w:cs="Times New Roman"/>
          <w:lang w:val="ro-MD"/>
        </w:rPr>
        <w:t>2016</w:t>
      </w:r>
      <w:r w:rsidRPr="00FC109D">
        <w:rPr>
          <w:rFonts w:ascii="Times New Roman" w:hAnsi="Times New Roman" w:cs="Times New Roman"/>
          <w:lang w:val="ro-MD"/>
        </w:rPr>
        <w:t xml:space="preserve">. </w:t>
      </w:r>
    </w:p>
    <w:p w14:paraId="7E33327A" w14:textId="036CDB33" w:rsidR="00392014" w:rsidRPr="00FC109D" w:rsidRDefault="004B5128" w:rsidP="002C7C89">
      <w:pPr>
        <w:jc w:val="both"/>
        <w:rPr>
          <w:rFonts w:ascii="Times New Roman" w:hAnsi="Times New Roman" w:cs="Times New Roman"/>
          <w:lang w:val="ro-MD"/>
        </w:rPr>
      </w:pPr>
      <w:r w:rsidRPr="00FC109D">
        <w:rPr>
          <w:rFonts w:ascii="Times New Roman" w:hAnsi="Times New Roman" w:cs="Times New Roman"/>
          <w:b/>
          <w:lang w:val="ro-MD"/>
        </w:rPr>
        <w:t>Cercetări aprofundate ale</w:t>
      </w:r>
      <w:r w:rsidR="007E011C" w:rsidRPr="00FC109D">
        <w:rPr>
          <w:rFonts w:ascii="Times New Roman" w:hAnsi="Times New Roman" w:cs="Times New Roman"/>
          <w:b/>
          <w:lang w:val="ro-MD"/>
        </w:rPr>
        <w:t xml:space="preserve"> pieței concurențiale.</w:t>
      </w:r>
      <w:r w:rsidRPr="00FC109D">
        <w:rPr>
          <w:rFonts w:ascii="Times New Roman" w:hAnsi="Times New Roman" w:cs="Times New Roman"/>
          <w:lang w:val="ro-MD"/>
        </w:rPr>
        <w:t xml:space="preserve"> Studiul de identificare a</w:t>
      </w:r>
      <w:r w:rsidR="007E011C" w:rsidRPr="00FC109D">
        <w:rPr>
          <w:rFonts w:ascii="Times New Roman" w:hAnsi="Times New Roman" w:cs="Times New Roman"/>
          <w:lang w:val="ro-MD"/>
        </w:rPr>
        <w:t xml:space="preserve"> criteriilor și sectoare</w:t>
      </w:r>
      <w:r w:rsidRPr="00FC109D">
        <w:rPr>
          <w:rFonts w:ascii="Times New Roman" w:hAnsi="Times New Roman" w:cs="Times New Roman"/>
          <w:lang w:val="ro-MD"/>
        </w:rPr>
        <w:t>lor</w:t>
      </w:r>
      <w:r w:rsidR="007E011C" w:rsidRPr="00FC109D">
        <w:rPr>
          <w:rFonts w:ascii="Times New Roman" w:hAnsi="Times New Roman" w:cs="Times New Roman"/>
          <w:lang w:val="ro-MD"/>
        </w:rPr>
        <w:t xml:space="preserve"> sensibile din punct de veder</w:t>
      </w:r>
      <w:r w:rsidRPr="00FC109D">
        <w:rPr>
          <w:rFonts w:ascii="Times New Roman" w:hAnsi="Times New Roman" w:cs="Times New Roman"/>
          <w:lang w:val="ro-MD"/>
        </w:rPr>
        <w:t>e concurențial a fost finalizat</w:t>
      </w:r>
      <w:r w:rsidR="007E011C" w:rsidRPr="00FC109D">
        <w:rPr>
          <w:rFonts w:ascii="Times New Roman" w:hAnsi="Times New Roman" w:cs="Times New Roman"/>
          <w:lang w:val="ro-MD"/>
        </w:rPr>
        <w:t>. Documentul</w:t>
      </w:r>
      <w:r w:rsidRPr="00FC109D">
        <w:rPr>
          <w:rFonts w:ascii="Times New Roman" w:hAnsi="Times New Roman" w:cs="Times New Roman"/>
          <w:lang w:val="ro-MD"/>
        </w:rPr>
        <w:t xml:space="preserve"> </w:t>
      </w:r>
      <w:r w:rsidR="007E011C" w:rsidRPr="00FC109D">
        <w:rPr>
          <w:rFonts w:ascii="Times New Roman" w:hAnsi="Times New Roman" w:cs="Times New Roman"/>
          <w:lang w:val="ro-MD"/>
        </w:rPr>
        <w:t xml:space="preserve"> recomand</w:t>
      </w:r>
      <w:r w:rsidRPr="00FC109D">
        <w:rPr>
          <w:rFonts w:ascii="Times New Roman" w:hAnsi="Times New Roman" w:cs="Times New Roman"/>
          <w:lang w:val="ro-MD"/>
        </w:rPr>
        <w:t>ă</w:t>
      </w:r>
      <w:r w:rsidR="007E011C" w:rsidRPr="00FC109D">
        <w:rPr>
          <w:rFonts w:ascii="Times New Roman" w:hAnsi="Times New Roman" w:cs="Times New Roman"/>
          <w:lang w:val="ro-MD"/>
        </w:rPr>
        <w:t xml:space="preserve"> patru sectoare pentru o evaluare aprofundată: asigur</w:t>
      </w:r>
      <w:r w:rsidR="00D80763" w:rsidRPr="00FC109D">
        <w:rPr>
          <w:rFonts w:ascii="Times New Roman" w:hAnsi="Times New Roman" w:cs="Times New Roman"/>
          <w:lang w:val="ro-MD"/>
        </w:rPr>
        <w:t>ările</w:t>
      </w:r>
      <w:r w:rsidR="007E011C" w:rsidRPr="00FC109D">
        <w:rPr>
          <w:rFonts w:ascii="Times New Roman" w:hAnsi="Times New Roman" w:cs="Times New Roman"/>
          <w:lang w:val="ro-MD"/>
        </w:rPr>
        <w:t>, aero</w:t>
      </w:r>
      <w:r w:rsidRPr="00FC109D">
        <w:rPr>
          <w:rFonts w:ascii="Times New Roman" w:hAnsi="Times New Roman" w:cs="Times New Roman"/>
          <w:lang w:val="ro-MD"/>
        </w:rPr>
        <w:t>port</w:t>
      </w:r>
      <w:r w:rsidR="007E011C" w:rsidRPr="00FC109D">
        <w:rPr>
          <w:rFonts w:ascii="Times New Roman" w:hAnsi="Times New Roman" w:cs="Times New Roman"/>
          <w:lang w:val="ro-MD"/>
        </w:rPr>
        <w:t xml:space="preserve"> și</w:t>
      </w:r>
      <w:r w:rsidR="00410B2C" w:rsidRPr="00FC109D">
        <w:rPr>
          <w:rFonts w:ascii="Times New Roman" w:hAnsi="Times New Roman" w:cs="Times New Roman"/>
          <w:lang w:val="ro-MD"/>
        </w:rPr>
        <w:t xml:space="preserve"> servicii</w:t>
      </w:r>
      <w:r w:rsidR="00533CFC" w:rsidRPr="00FC109D">
        <w:rPr>
          <w:rFonts w:ascii="Times New Roman" w:hAnsi="Times New Roman" w:cs="Times New Roman"/>
          <w:lang w:val="ro-MD"/>
        </w:rPr>
        <w:t xml:space="preserve"> </w:t>
      </w:r>
      <w:r w:rsidR="007E011C" w:rsidRPr="00FC109D">
        <w:rPr>
          <w:rFonts w:ascii="Times New Roman" w:hAnsi="Times New Roman" w:cs="Times New Roman"/>
          <w:lang w:val="ro-MD"/>
        </w:rPr>
        <w:t xml:space="preserve">aeriene, achiziții publice și servicii de transport </w:t>
      </w:r>
      <w:r w:rsidR="00832361" w:rsidRPr="00FC109D">
        <w:rPr>
          <w:rFonts w:ascii="Times New Roman" w:hAnsi="Times New Roman" w:cs="Times New Roman"/>
          <w:lang w:val="ro-MD"/>
        </w:rPr>
        <w:t>terestru</w:t>
      </w:r>
      <w:r w:rsidR="00392014" w:rsidRPr="00FC109D">
        <w:rPr>
          <w:rFonts w:ascii="Times New Roman" w:hAnsi="Times New Roman" w:cs="Times New Roman"/>
          <w:lang w:val="ro-MD"/>
        </w:rPr>
        <w:t xml:space="preserve"> de pasageri</w:t>
      </w:r>
      <w:r w:rsidR="007E011C" w:rsidRPr="00FC109D">
        <w:rPr>
          <w:rFonts w:ascii="Times New Roman" w:hAnsi="Times New Roman" w:cs="Times New Roman"/>
          <w:lang w:val="ro-MD"/>
        </w:rPr>
        <w:t>.</w:t>
      </w:r>
      <w:r w:rsidR="00D80763" w:rsidRPr="00FC109D">
        <w:rPr>
          <w:rFonts w:ascii="Times New Roman" w:hAnsi="Times New Roman" w:cs="Times New Roman"/>
          <w:lang w:val="ro-MD"/>
        </w:rPr>
        <w:t xml:space="preserve"> </w:t>
      </w:r>
      <w:r w:rsidR="00392014" w:rsidRPr="00FC109D">
        <w:rPr>
          <w:rFonts w:ascii="Times New Roman" w:hAnsi="Times New Roman" w:cs="Times New Roman"/>
          <w:lang w:val="ro-MD"/>
        </w:rPr>
        <w:t xml:space="preserve">Proiectul susține cercetări pentru trei din cele patru sectoare identificate, cu excepția serviciilor de transport </w:t>
      </w:r>
      <w:r w:rsidR="00832361" w:rsidRPr="00FC109D">
        <w:rPr>
          <w:rFonts w:ascii="Times New Roman" w:hAnsi="Times New Roman" w:cs="Times New Roman"/>
          <w:lang w:val="ro-MD"/>
        </w:rPr>
        <w:t>de</w:t>
      </w:r>
      <w:r w:rsidR="00392014" w:rsidRPr="00FC109D">
        <w:rPr>
          <w:rFonts w:ascii="Times New Roman" w:hAnsi="Times New Roman" w:cs="Times New Roman"/>
          <w:lang w:val="ro-MD"/>
        </w:rPr>
        <w:t xml:space="preserve"> pasageri. </w:t>
      </w:r>
      <w:r w:rsidR="009A3AF1" w:rsidRPr="00FC109D">
        <w:rPr>
          <w:rFonts w:ascii="Times New Roman" w:hAnsi="Times New Roman" w:cs="Times New Roman"/>
          <w:lang w:val="ro-MD"/>
        </w:rPr>
        <w:t>În urma consultărilor cu Consiliul Concurenței</w:t>
      </w:r>
      <w:r w:rsidR="005E6A42" w:rsidRPr="00FC109D">
        <w:rPr>
          <w:rFonts w:ascii="Times New Roman" w:hAnsi="Times New Roman" w:cs="Times New Roman"/>
          <w:lang w:val="ro-MD"/>
        </w:rPr>
        <w:t>,</w:t>
      </w:r>
      <w:r w:rsidR="009A3AF1" w:rsidRPr="00FC109D">
        <w:rPr>
          <w:rFonts w:ascii="Times New Roman" w:hAnsi="Times New Roman" w:cs="Times New Roman"/>
          <w:lang w:val="ro-MD"/>
        </w:rPr>
        <w:t xml:space="preserve"> U</w:t>
      </w:r>
      <w:r w:rsidR="0040601F" w:rsidRPr="00FC109D">
        <w:rPr>
          <w:rFonts w:ascii="Times New Roman" w:hAnsi="Times New Roman" w:cs="Times New Roman"/>
          <w:lang w:val="ro-MD"/>
        </w:rPr>
        <w:t>nitatea</w:t>
      </w:r>
      <w:r w:rsidR="00832361" w:rsidRPr="00FC109D">
        <w:rPr>
          <w:rFonts w:ascii="Times New Roman" w:hAnsi="Times New Roman" w:cs="Times New Roman"/>
          <w:lang w:val="ro-MD"/>
        </w:rPr>
        <w:t xml:space="preserve"> a elaborat T</w:t>
      </w:r>
      <w:r w:rsidR="009A3AF1" w:rsidRPr="00FC109D">
        <w:rPr>
          <w:rFonts w:ascii="Times New Roman" w:hAnsi="Times New Roman" w:cs="Times New Roman"/>
          <w:lang w:val="ro-MD"/>
        </w:rPr>
        <w:t xml:space="preserve">ermenii de Referință  </w:t>
      </w:r>
      <w:r w:rsidR="00392014" w:rsidRPr="00FC109D">
        <w:rPr>
          <w:rFonts w:ascii="Times New Roman" w:hAnsi="Times New Roman" w:cs="Times New Roman"/>
          <w:lang w:val="ro-MD"/>
        </w:rPr>
        <w:t>și alte documente solicitate și a lansat procedura de achiziție pentru servicii</w:t>
      </w:r>
      <w:r w:rsidR="009A3AF1" w:rsidRPr="00FC109D">
        <w:rPr>
          <w:rFonts w:ascii="Times New Roman" w:hAnsi="Times New Roman" w:cs="Times New Roman"/>
          <w:lang w:val="ro-MD"/>
        </w:rPr>
        <w:t>le</w:t>
      </w:r>
      <w:r w:rsidR="00392014" w:rsidRPr="00FC109D">
        <w:rPr>
          <w:rFonts w:ascii="Times New Roman" w:hAnsi="Times New Roman" w:cs="Times New Roman"/>
          <w:lang w:val="ro-MD"/>
        </w:rPr>
        <w:t xml:space="preserve"> </w:t>
      </w:r>
      <w:r w:rsidR="009A3AF1" w:rsidRPr="00FC109D">
        <w:rPr>
          <w:rFonts w:ascii="Times New Roman" w:hAnsi="Times New Roman" w:cs="Times New Roman"/>
          <w:lang w:val="ro-MD"/>
        </w:rPr>
        <w:t xml:space="preserve">din </w:t>
      </w:r>
      <w:r w:rsidR="00392014" w:rsidRPr="00FC109D">
        <w:rPr>
          <w:rFonts w:ascii="Times New Roman" w:hAnsi="Times New Roman" w:cs="Times New Roman"/>
          <w:lang w:val="ro-MD"/>
        </w:rPr>
        <w:t>toate cele trei sectoare.</w:t>
      </w:r>
      <w:r w:rsidR="00AC3A0B" w:rsidRPr="00FC109D">
        <w:rPr>
          <w:rFonts w:ascii="Times New Roman" w:hAnsi="Times New Roman" w:cs="Times New Roman"/>
          <w:lang w:val="ro-MD"/>
        </w:rPr>
        <w:t xml:space="preserve"> Nici una din companiile care au depus </w:t>
      </w:r>
      <w:r w:rsidR="00832361" w:rsidRPr="00FC109D">
        <w:rPr>
          <w:rFonts w:ascii="Times New Roman" w:hAnsi="Times New Roman" w:cs="Times New Roman"/>
          <w:lang w:val="ro-MD"/>
        </w:rPr>
        <w:t>propunerile</w:t>
      </w:r>
      <w:r w:rsidR="00AC3A0B" w:rsidRPr="00FC109D">
        <w:rPr>
          <w:rFonts w:ascii="Times New Roman" w:hAnsi="Times New Roman" w:cs="Times New Roman"/>
          <w:lang w:val="ro-MD"/>
        </w:rPr>
        <w:t xml:space="preserve"> nu </w:t>
      </w:r>
      <w:r w:rsidR="009A3AF1" w:rsidRPr="00FC109D">
        <w:rPr>
          <w:rFonts w:ascii="Times New Roman" w:hAnsi="Times New Roman" w:cs="Times New Roman"/>
          <w:lang w:val="ro-MD"/>
        </w:rPr>
        <w:t xml:space="preserve">s-a calificat. Astfel, </w:t>
      </w:r>
      <w:r w:rsidR="00AC3A0B" w:rsidRPr="00FC109D">
        <w:rPr>
          <w:rFonts w:ascii="Times New Roman" w:hAnsi="Times New Roman" w:cs="Times New Roman"/>
          <w:lang w:val="ro-MD"/>
        </w:rPr>
        <w:t xml:space="preserve"> </w:t>
      </w:r>
      <w:r w:rsidR="00410B2C" w:rsidRPr="00FC109D">
        <w:rPr>
          <w:rFonts w:ascii="Times New Roman" w:hAnsi="Times New Roman" w:cs="Times New Roman"/>
          <w:lang w:val="ro-MD"/>
        </w:rPr>
        <w:t>Consiliul Concurenț</w:t>
      </w:r>
      <w:r w:rsidR="00AC3A0B" w:rsidRPr="00FC109D">
        <w:rPr>
          <w:rFonts w:ascii="Times New Roman" w:hAnsi="Times New Roman" w:cs="Times New Roman"/>
          <w:lang w:val="ro-MD"/>
        </w:rPr>
        <w:t xml:space="preserve">ei a cerut o revizuire a cerințelor de calificare și </w:t>
      </w:r>
      <w:r w:rsidR="00410B2C" w:rsidRPr="00FC109D">
        <w:rPr>
          <w:rFonts w:ascii="Times New Roman" w:hAnsi="Times New Roman" w:cs="Times New Roman"/>
          <w:lang w:val="ro-MD"/>
        </w:rPr>
        <w:t xml:space="preserve">a </w:t>
      </w:r>
      <w:r w:rsidR="009A3AF1" w:rsidRPr="00FC109D">
        <w:rPr>
          <w:rFonts w:ascii="Times New Roman" w:hAnsi="Times New Roman" w:cs="Times New Roman"/>
          <w:lang w:val="ro-MD"/>
        </w:rPr>
        <w:t>Termenilor de Referință. De asemenea ar putea fi schimbată și procedura de selectare</w:t>
      </w:r>
      <w:r w:rsidR="00AC3A0B" w:rsidRPr="00FC109D">
        <w:rPr>
          <w:rFonts w:ascii="Times New Roman" w:hAnsi="Times New Roman" w:cs="Times New Roman"/>
          <w:lang w:val="ro-MD"/>
        </w:rPr>
        <w:t xml:space="preserve"> </w:t>
      </w:r>
      <w:r w:rsidR="00D80763" w:rsidRPr="00FC109D">
        <w:rPr>
          <w:rFonts w:ascii="Times New Roman" w:hAnsi="Times New Roman" w:cs="Times New Roman"/>
          <w:lang w:val="ro-MD"/>
        </w:rPr>
        <w:t>a consultanților</w:t>
      </w:r>
      <w:r w:rsidR="00AC3A0B" w:rsidRPr="00FC109D">
        <w:rPr>
          <w:rFonts w:ascii="Times New Roman" w:hAnsi="Times New Roman" w:cs="Times New Roman"/>
          <w:lang w:val="ro-MD"/>
        </w:rPr>
        <w:t xml:space="preserve"> individual</w:t>
      </w:r>
      <w:r w:rsidR="00D80763" w:rsidRPr="00FC109D">
        <w:rPr>
          <w:rFonts w:ascii="Times New Roman" w:hAnsi="Times New Roman" w:cs="Times New Roman"/>
          <w:lang w:val="ro-MD"/>
        </w:rPr>
        <w:t>i</w:t>
      </w:r>
      <w:r w:rsidR="00314D50" w:rsidRPr="00FC109D">
        <w:rPr>
          <w:rFonts w:ascii="Times New Roman" w:hAnsi="Times New Roman" w:cs="Times New Roman"/>
          <w:lang w:val="ro-MD"/>
        </w:rPr>
        <w:t>,</w:t>
      </w:r>
      <w:r w:rsidR="00AC3A0B" w:rsidRPr="00FC109D">
        <w:rPr>
          <w:rFonts w:ascii="Times New Roman" w:hAnsi="Times New Roman" w:cs="Times New Roman"/>
          <w:lang w:val="ro-MD"/>
        </w:rPr>
        <w:t xml:space="preserve"> </w:t>
      </w:r>
      <w:r w:rsidR="00314D50" w:rsidRPr="00FC109D">
        <w:rPr>
          <w:rFonts w:ascii="Times New Roman" w:hAnsi="Times New Roman" w:cs="Times New Roman"/>
          <w:lang w:val="ro-MD"/>
        </w:rPr>
        <w:t>întrucât</w:t>
      </w:r>
      <w:r w:rsidR="00AC3A0B" w:rsidRPr="00FC109D">
        <w:rPr>
          <w:rFonts w:ascii="Times New Roman" w:hAnsi="Times New Roman" w:cs="Times New Roman"/>
          <w:lang w:val="ro-MD"/>
        </w:rPr>
        <w:t xml:space="preserve">, în </w:t>
      </w:r>
      <w:r w:rsidR="00314D50" w:rsidRPr="00FC109D">
        <w:rPr>
          <w:rFonts w:ascii="Times New Roman" w:hAnsi="Times New Roman" w:cs="Times New Roman"/>
          <w:lang w:val="ro-MD"/>
        </w:rPr>
        <w:t xml:space="preserve">opinia </w:t>
      </w:r>
      <w:r w:rsidR="00AC3A0B" w:rsidRPr="00FC109D">
        <w:rPr>
          <w:rFonts w:ascii="Times New Roman" w:hAnsi="Times New Roman" w:cs="Times New Roman"/>
          <w:lang w:val="ro-MD"/>
        </w:rPr>
        <w:t>beneficiar</w:t>
      </w:r>
      <w:r w:rsidR="00314D50" w:rsidRPr="00FC109D">
        <w:rPr>
          <w:rFonts w:ascii="Times New Roman" w:hAnsi="Times New Roman" w:cs="Times New Roman"/>
          <w:lang w:val="ro-MD"/>
        </w:rPr>
        <w:t>ului, sarcina poate fi realizată</w:t>
      </w:r>
      <w:r w:rsidR="00AC3A0B" w:rsidRPr="00FC109D">
        <w:rPr>
          <w:rFonts w:ascii="Times New Roman" w:hAnsi="Times New Roman" w:cs="Times New Roman"/>
          <w:lang w:val="ro-MD"/>
        </w:rPr>
        <w:t xml:space="preserve"> de către un expert </w:t>
      </w:r>
      <w:r w:rsidR="00314D50" w:rsidRPr="00FC109D">
        <w:rPr>
          <w:rFonts w:ascii="Times New Roman" w:hAnsi="Times New Roman" w:cs="Times New Roman"/>
          <w:lang w:val="ro-MD"/>
        </w:rPr>
        <w:t>individual</w:t>
      </w:r>
      <w:r w:rsidR="00AC3A0B" w:rsidRPr="00FC109D">
        <w:rPr>
          <w:rFonts w:ascii="Times New Roman" w:hAnsi="Times New Roman" w:cs="Times New Roman"/>
          <w:lang w:val="ro-MD"/>
        </w:rPr>
        <w:t>, și nu</w:t>
      </w:r>
      <w:r w:rsidR="009A3AF1" w:rsidRPr="00FC109D">
        <w:rPr>
          <w:rFonts w:ascii="Times New Roman" w:hAnsi="Times New Roman" w:cs="Times New Roman"/>
          <w:lang w:val="ro-MD"/>
        </w:rPr>
        <w:t xml:space="preserve"> </w:t>
      </w:r>
      <w:r w:rsidR="005E6A42" w:rsidRPr="00FC109D">
        <w:rPr>
          <w:rFonts w:ascii="Times New Roman" w:hAnsi="Times New Roman" w:cs="Times New Roman"/>
          <w:lang w:val="ro-MD"/>
        </w:rPr>
        <w:t xml:space="preserve">neapărat </w:t>
      </w:r>
      <w:r w:rsidR="009A3AF1" w:rsidRPr="00FC109D">
        <w:rPr>
          <w:rFonts w:ascii="Times New Roman" w:hAnsi="Times New Roman" w:cs="Times New Roman"/>
          <w:lang w:val="ro-MD"/>
        </w:rPr>
        <w:t>de</w:t>
      </w:r>
      <w:r w:rsidR="00AC3A0B" w:rsidRPr="00FC109D">
        <w:rPr>
          <w:rFonts w:ascii="Times New Roman" w:hAnsi="Times New Roman" w:cs="Times New Roman"/>
          <w:lang w:val="ro-MD"/>
        </w:rPr>
        <w:t xml:space="preserve"> o companie </w:t>
      </w:r>
      <w:r w:rsidR="00314D50" w:rsidRPr="00FC109D">
        <w:rPr>
          <w:rFonts w:ascii="Times New Roman" w:hAnsi="Times New Roman" w:cs="Times New Roman"/>
          <w:lang w:val="ro-MD"/>
        </w:rPr>
        <w:t>după cum a fost</w:t>
      </w:r>
      <w:r w:rsidR="00AC3A0B" w:rsidRPr="00FC109D">
        <w:rPr>
          <w:rFonts w:ascii="Times New Roman" w:hAnsi="Times New Roman" w:cs="Times New Roman"/>
          <w:lang w:val="ro-MD"/>
        </w:rPr>
        <w:t xml:space="preserve"> </w:t>
      </w:r>
      <w:r w:rsidR="009A3AF1" w:rsidRPr="00FC109D">
        <w:rPr>
          <w:rFonts w:ascii="Times New Roman" w:hAnsi="Times New Roman" w:cs="Times New Roman"/>
          <w:lang w:val="ro-MD"/>
        </w:rPr>
        <w:t xml:space="preserve">stabilit </w:t>
      </w:r>
      <w:r w:rsidR="00314D50" w:rsidRPr="00FC109D">
        <w:rPr>
          <w:rFonts w:ascii="Times New Roman" w:hAnsi="Times New Roman" w:cs="Times New Roman"/>
          <w:lang w:val="ro-MD"/>
        </w:rPr>
        <w:t>inițial</w:t>
      </w:r>
    </w:p>
    <w:p w14:paraId="30C52919" w14:textId="0B89280E" w:rsidR="00FF0E41" w:rsidRPr="00FC109D" w:rsidRDefault="000A6EB2" w:rsidP="00FC109D">
      <w:pPr>
        <w:jc w:val="both"/>
        <w:rPr>
          <w:rFonts w:ascii="Times New Roman" w:hAnsi="Times New Roman" w:cs="Times New Roman"/>
          <w:highlight w:val="yellow"/>
          <w:lang w:val="ro-MD"/>
        </w:rPr>
      </w:pPr>
      <w:r w:rsidRPr="00FC109D">
        <w:rPr>
          <w:rFonts w:ascii="Times New Roman" w:hAnsi="Times New Roman" w:cs="Times New Roman"/>
          <w:b/>
          <w:lang w:val="ro-MD"/>
        </w:rPr>
        <w:t>Programul soft pentru Consiliul Concurenței.</w:t>
      </w:r>
      <w:r w:rsidRPr="00FC109D">
        <w:rPr>
          <w:rFonts w:ascii="Times New Roman" w:hAnsi="Times New Roman" w:cs="Times New Roman"/>
          <w:lang w:val="ro-MD"/>
        </w:rPr>
        <w:t xml:space="preserve"> </w:t>
      </w:r>
      <w:r w:rsidR="00832361" w:rsidRPr="00FC109D">
        <w:rPr>
          <w:rFonts w:ascii="Times New Roman" w:hAnsi="Times New Roman" w:cs="Times New Roman"/>
          <w:lang w:val="ro-MD"/>
        </w:rPr>
        <w:t xml:space="preserve">Proiectul </w:t>
      </w:r>
      <w:r w:rsidRPr="00FC109D">
        <w:rPr>
          <w:rFonts w:ascii="Times New Roman" w:hAnsi="Times New Roman" w:cs="Times New Roman"/>
          <w:lang w:val="ro-MD"/>
        </w:rPr>
        <w:t>a finanțat achiziționarea soft</w:t>
      </w:r>
      <w:r w:rsidR="00D80763" w:rsidRPr="00FC109D">
        <w:rPr>
          <w:rFonts w:ascii="Times New Roman" w:hAnsi="Times New Roman" w:cs="Times New Roman"/>
          <w:lang w:val="ro-MD"/>
        </w:rPr>
        <w:t>ului</w:t>
      </w:r>
      <w:r w:rsidRPr="00FC109D">
        <w:rPr>
          <w:rFonts w:ascii="Times New Roman" w:hAnsi="Times New Roman" w:cs="Times New Roman"/>
          <w:lang w:val="ro-MD"/>
        </w:rPr>
        <w:t xml:space="preserve"> care </w:t>
      </w:r>
      <w:r w:rsidR="00CC50E1" w:rsidRPr="00FC109D">
        <w:rPr>
          <w:rFonts w:ascii="Times New Roman" w:hAnsi="Times New Roman" w:cs="Times New Roman"/>
          <w:lang w:val="ro-MD"/>
        </w:rPr>
        <w:t>ar</w:t>
      </w:r>
      <w:r w:rsidRPr="00FC109D">
        <w:rPr>
          <w:rFonts w:ascii="Times New Roman" w:hAnsi="Times New Roman" w:cs="Times New Roman"/>
          <w:lang w:val="ro-MD"/>
        </w:rPr>
        <w:t xml:space="preserve"> permit</w:t>
      </w:r>
      <w:r w:rsidR="00CC50E1" w:rsidRPr="00FC109D">
        <w:rPr>
          <w:rFonts w:ascii="Times New Roman" w:hAnsi="Times New Roman" w:cs="Times New Roman"/>
          <w:lang w:val="ro-MD"/>
        </w:rPr>
        <w:t>e</w:t>
      </w:r>
      <w:r w:rsidRPr="00FC109D">
        <w:rPr>
          <w:rFonts w:ascii="Times New Roman" w:hAnsi="Times New Roman" w:cs="Times New Roman"/>
          <w:lang w:val="ro-MD"/>
        </w:rPr>
        <w:t xml:space="preserve"> Consiliului să desfășoare activități </w:t>
      </w:r>
      <w:r w:rsidR="00CC50E1" w:rsidRPr="00FC109D">
        <w:rPr>
          <w:rFonts w:ascii="Times New Roman" w:hAnsi="Times New Roman" w:cs="Times New Roman"/>
          <w:lang w:val="ro-MD"/>
        </w:rPr>
        <w:t>de asigurare a concurenței</w:t>
      </w:r>
      <w:r w:rsidRPr="00FC109D">
        <w:rPr>
          <w:rFonts w:ascii="Times New Roman" w:hAnsi="Times New Roman" w:cs="Times New Roman"/>
          <w:lang w:val="ro-MD"/>
        </w:rPr>
        <w:t xml:space="preserve">. </w:t>
      </w:r>
      <w:r w:rsidR="009A3AF1" w:rsidRPr="00FC109D">
        <w:rPr>
          <w:rFonts w:ascii="Times New Roman" w:hAnsi="Times New Roman" w:cs="Times New Roman"/>
          <w:lang w:val="ro-MD"/>
        </w:rPr>
        <w:t>În prezent U</w:t>
      </w:r>
      <w:r w:rsidR="00832361" w:rsidRPr="00FC109D">
        <w:rPr>
          <w:rFonts w:ascii="Times New Roman" w:hAnsi="Times New Roman" w:cs="Times New Roman"/>
          <w:lang w:val="ro-MD"/>
        </w:rPr>
        <w:t>nitatea</w:t>
      </w:r>
      <w:r w:rsidRPr="00FC109D">
        <w:rPr>
          <w:rFonts w:ascii="Times New Roman" w:hAnsi="Times New Roman" w:cs="Times New Roman"/>
          <w:lang w:val="ro-MD"/>
        </w:rPr>
        <w:t xml:space="preserve"> negociază cu furnizorii </w:t>
      </w:r>
      <w:r w:rsidR="00860B8E" w:rsidRPr="00FC109D">
        <w:rPr>
          <w:rFonts w:ascii="Times New Roman" w:hAnsi="Times New Roman" w:cs="Times New Roman"/>
          <w:lang w:val="ro-MD"/>
        </w:rPr>
        <w:t>program</w:t>
      </w:r>
      <w:r w:rsidR="00D80763" w:rsidRPr="00FC109D">
        <w:rPr>
          <w:rFonts w:ascii="Times New Roman" w:hAnsi="Times New Roman" w:cs="Times New Roman"/>
          <w:lang w:val="ro-MD"/>
        </w:rPr>
        <w:t>ului</w:t>
      </w:r>
      <w:r w:rsidR="005E6A42" w:rsidRPr="00FC109D">
        <w:rPr>
          <w:rFonts w:ascii="Times New Roman" w:hAnsi="Times New Roman" w:cs="Times New Roman"/>
          <w:lang w:val="ro-MD"/>
        </w:rPr>
        <w:t xml:space="preserve"> </w:t>
      </w:r>
      <w:r w:rsidR="00860B8E" w:rsidRPr="00FC109D">
        <w:rPr>
          <w:rFonts w:ascii="Times New Roman" w:hAnsi="Times New Roman" w:cs="Times New Roman"/>
          <w:lang w:val="ro-MD"/>
        </w:rPr>
        <w:t xml:space="preserve">orarul </w:t>
      </w:r>
      <w:r w:rsidRPr="00FC109D">
        <w:rPr>
          <w:rFonts w:ascii="Times New Roman" w:hAnsi="Times New Roman" w:cs="Times New Roman"/>
          <w:lang w:val="ro-MD"/>
        </w:rPr>
        <w:t xml:space="preserve">și condițiile </w:t>
      </w:r>
      <w:r w:rsidR="00860B8E" w:rsidRPr="00FC109D">
        <w:rPr>
          <w:rFonts w:ascii="Times New Roman" w:hAnsi="Times New Roman" w:cs="Times New Roman"/>
          <w:lang w:val="ro-MD"/>
        </w:rPr>
        <w:t>în care va avea loc instruirea</w:t>
      </w:r>
    </w:p>
    <w:p w14:paraId="1D46937D" w14:textId="0727F2EB" w:rsidR="00FF0E41" w:rsidRPr="00FC109D" w:rsidRDefault="00FF0E41" w:rsidP="00F225E9">
      <w:pPr>
        <w:rPr>
          <w:rFonts w:ascii="Times New Roman" w:hAnsi="Times New Roman" w:cs="Times New Roman"/>
          <w:b/>
          <w:u w:val="single"/>
          <w:lang w:val="ro-MD"/>
        </w:rPr>
      </w:pPr>
      <w:r w:rsidRPr="00FC109D">
        <w:rPr>
          <w:rFonts w:ascii="Times New Roman" w:hAnsi="Times New Roman" w:cs="Times New Roman"/>
          <w:b/>
          <w:u w:val="single"/>
          <w:lang w:val="ro-MD"/>
        </w:rPr>
        <w:t>Componenta 2.  Dezvoltarea sectorului IMM</w:t>
      </w:r>
    </w:p>
    <w:p w14:paraId="3794D2BD" w14:textId="0A187DA7" w:rsidR="00FF0E41" w:rsidRPr="00FC109D" w:rsidRDefault="00FF0E41" w:rsidP="002C7C89">
      <w:pPr>
        <w:jc w:val="both"/>
        <w:rPr>
          <w:rFonts w:ascii="Times New Roman" w:hAnsi="Times New Roman" w:cs="Times New Roman"/>
          <w:lang w:val="ro-MD"/>
        </w:rPr>
      </w:pPr>
      <w:r w:rsidRPr="00FC109D">
        <w:rPr>
          <w:rFonts w:ascii="Times New Roman" w:hAnsi="Times New Roman" w:cs="Times New Roman"/>
          <w:b/>
          <w:lang w:val="ro-MD"/>
        </w:rPr>
        <w:t xml:space="preserve">Finanțarea MIEPO și ODIMM. </w:t>
      </w:r>
      <w:r w:rsidRPr="00FC109D">
        <w:rPr>
          <w:rFonts w:ascii="Times New Roman" w:hAnsi="Times New Roman" w:cs="Times New Roman"/>
          <w:lang w:val="ro-MD"/>
        </w:rPr>
        <w:t xml:space="preserve">Atât </w:t>
      </w:r>
      <w:r w:rsidR="009A44EE" w:rsidRPr="00FC109D">
        <w:rPr>
          <w:rFonts w:ascii="Times New Roman" w:hAnsi="Times New Roman" w:cs="Times New Roman"/>
          <w:lang w:val="ro-MD"/>
        </w:rPr>
        <w:t xml:space="preserve">pentru </w:t>
      </w:r>
      <w:r w:rsidRPr="00FC109D">
        <w:rPr>
          <w:rFonts w:ascii="Times New Roman" w:hAnsi="Times New Roman" w:cs="Times New Roman"/>
          <w:lang w:val="ro-MD"/>
        </w:rPr>
        <w:t>MIEPO</w:t>
      </w:r>
      <w:r w:rsidR="009A44EE" w:rsidRPr="00FC109D">
        <w:rPr>
          <w:rFonts w:ascii="Times New Roman" w:hAnsi="Times New Roman" w:cs="Times New Roman"/>
          <w:lang w:val="ro-MD"/>
        </w:rPr>
        <w:t>, cât</w:t>
      </w:r>
      <w:r w:rsidRPr="00FC109D">
        <w:rPr>
          <w:rFonts w:ascii="Times New Roman" w:hAnsi="Times New Roman" w:cs="Times New Roman"/>
          <w:lang w:val="ro-MD"/>
        </w:rPr>
        <w:t xml:space="preserve"> și</w:t>
      </w:r>
      <w:r w:rsidR="009A44EE" w:rsidRPr="00FC109D">
        <w:rPr>
          <w:rFonts w:ascii="Times New Roman" w:hAnsi="Times New Roman" w:cs="Times New Roman"/>
          <w:lang w:val="ro-MD"/>
        </w:rPr>
        <w:t xml:space="preserve"> pentru</w:t>
      </w:r>
      <w:r w:rsidRPr="00FC109D">
        <w:rPr>
          <w:rFonts w:ascii="Times New Roman" w:hAnsi="Times New Roman" w:cs="Times New Roman"/>
          <w:lang w:val="ro-MD"/>
        </w:rPr>
        <w:t xml:space="preserve"> ODIMM</w:t>
      </w:r>
      <w:r w:rsidR="009A44EE" w:rsidRPr="00FC109D">
        <w:rPr>
          <w:rFonts w:ascii="Times New Roman" w:hAnsi="Times New Roman" w:cs="Times New Roman"/>
          <w:lang w:val="ro-MD"/>
        </w:rPr>
        <w:t>,</w:t>
      </w:r>
      <w:r w:rsidRPr="00FC109D">
        <w:rPr>
          <w:rFonts w:ascii="Times New Roman" w:hAnsi="Times New Roman" w:cs="Times New Roman"/>
          <w:lang w:val="ro-MD"/>
        </w:rPr>
        <w:t xml:space="preserve"> a</w:t>
      </w:r>
      <w:r w:rsidR="009A44EE" w:rsidRPr="00FC109D">
        <w:rPr>
          <w:rFonts w:ascii="Times New Roman" w:hAnsi="Times New Roman" w:cs="Times New Roman"/>
          <w:lang w:val="ro-MD"/>
        </w:rPr>
        <w:t>u</w:t>
      </w:r>
      <w:r w:rsidRPr="00FC109D">
        <w:rPr>
          <w:rFonts w:ascii="Times New Roman" w:hAnsi="Times New Roman" w:cs="Times New Roman"/>
          <w:lang w:val="ro-MD"/>
        </w:rPr>
        <w:t xml:space="preserve"> fost </w:t>
      </w:r>
      <w:r w:rsidR="009A44EE" w:rsidRPr="00FC109D">
        <w:rPr>
          <w:rFonts w:ascii="Times New Roman" w:hAnsi="Times New Roman" w:cs="Times New Roman"/>
          <w:lang w:val="ro-MD"/>
        </w:rPr>
        <w:t xml:space="preserve">alocate bugete majorate, după </w:t>
      </w:r>
      <w:r w:rsidRPr="00FC109D">
        <w:rPr>
          <w:rFonts w:ascii="Times New Roman" w:hAnsi="Times New Roman" w:cs="Times New Roman"/>
          <w:lang w:val="ro-MD"/>
        </w:rPr>
        <w:t xml:space="preserve">cum </w:t>
      </w:r>
      <w:r w:rsidR="009A44EE" w:rsidRPr="00FC109D">
        <w:rPr>
          <w:rFonts w:ascii="Times New Roman" w:hAnsi="Times New Roman" w:cs="Times New Roman"/>
          <w:lang w:val="ro-MD"/>
        </w:rPr>
        <w:t>a fost</w:t>
      </w:r>
      <w:r w:rsidRPr="00FC109D">
        <w:rPr>
          <w:rFonts w:ascii="Times New Roman" w:hAnsi="Times New Roman" w:cs="Times New Roman"/>
          <w:lang w:val="ro-MD"/>
        </w:rPr>
        <w:t xml:space="preserve"> prevăzut în Legea </w:t>
      </w:r>
      <w:r w:rsidR="009A44EE" w:rsidRPr="00FC109D">
        <w:rPr>
          <w:rFonts w:ascii="Times New Roman" w:hAnsi="Times New Roman" w:cs="Times New Roman"/>
          <w:lang w:val="ro-MD"/>
        </w:rPr>
        <w:t>B</w:t>
      </w:r>
      <w:r w:rsidRPr="00FC109D">
        <w:rPr>
          <w:rFonts w:ascii="Times New Roman" w:hAnsi="Times New Roman" w:cs="Times New Roman"/>
          <w:lang w:val="ro-MD"/>
        </w:rPr>
        <w:t xml:space="preserve">ugetului de </w:t>
      </w:r>
      <w:r w:rsidR="009A44EE" w:rsidRPr="00FC109D">
        <w:rPr>
          <w:rFonts w:ascii="Times New Roman" w:hAnsi="Times New Roman" w:cs="Times New Roman"/>
          <w:lang w:val="ro-MD"/>
        </w:rPr>
        <w:t>S</w:t>
      </w:r>
      <w:r w:rsidRPr="00FC109D">
        <w:rPr>
          <w:rFonts w:ascii="Times New Roman" w:hAnsi="Times New Roman" w:cs="Times New Roman"/>
          <w:lang w:val="ro-MD"/>
        </w:rPr>
        <w:t>tat pentru 2016</w:t>
      </w:r>
    </w:p>
    <w:p w14:paraId="63657C91" w14:textId="148920ED" w:rsidR="00AB7FAC" w:rsidRPr="00FC109D" w:rsidRDefault="00434DE1" w:rsidP="002C7C89">
      <w:pPr>
        <w:jc w:val="both"/>
        <w:rPr>
          <w:rFonts w:ascii="Times New Roman" w:hAnsi="Times New Roman" w:cs="Times New Roman"/>
          <w:lang w:val="ro-MD"/>
        </w:rPr>
      </w:pPr>
      <w:r w:rsidRPr="00FC109D">
        <w:rPr>
          <w:rFonts w:ascii="Times New Roman" w:hAnsi="Times New Roman" w:cs="Times New Roman"/>
          <w:b/>
          <w:lang w:val="ro-MD"/>
        </w:rPr>
        <w:t>Sondaj</w:t>
      </w:r>
      <w:r w:rsidR="00231129" w:rsidRPr="00FC109D">
        <w:rPr>
          <w:rFonts w:ascii="Times New Roman" w:hAnsi="Times New Roman" w:cs="Times New Roman"/>
          <w:b/>
          <w:lang w:val="ro-MD"/>
        </w:rPr>
        <w:t xml:space="preserve"> de </w:t>
      </w:r>
      <w:r w:rsidRPr="00FC109D">
        <w:rPr>
          <w:rFonts w:ascii="Times New Roman" w:hAnsi="Times New Roman" w:cs="Times New Roman"/>
          <w:b/>
          <w:lang w:val="ro-MD"/>
        </w:rPr>
        <w:t>sensibilizare</w:t>
      </w:r>
      <w:r w:rsidR="00231129" w:rsidRPr="00FC109D">
        <w:rPr>
          <w:rFonts w:ascii="Times New Roman" w:hAnsi="Times New Roman" w:cs="Times New Roman"/>
          <w:b/>
          <w:lang w:val="ro-MD"/>
        </w:rPr>
        <w:t xml:space="preserve"> și eficacitate ODIMM și MIEPO.</w:t>
      </w:r>
      <w:r w:rsidR="00231129" w:rsidRPr="00FC109D">
        <w:rPr>
          <w:rFonts w:ascii="Times New Roman" w:hAnsi="Times New Roman" w:cs="Times New Roman"/>
          <w:lang w:val="ro-MD"/>
        </w:rPr>
        <w:t xml:space="preserve"> Potrivit sondajului d</w:t>
      </w:r>
      <w:r w:rsidRPr="00FC109D">
        <w:rPr>
          <w:rFonts w:ascii="Times New Roman" w:hAnsi="Times New Roman" w:cs="Times New Roman"/>
          <w:lang w:val="ro-MD"/>
        </w:rPr>
        <w:t>in</w:t>
      </w:r>
      <w:r w:rsidR="00231129" w:rsidRPr="00FC109D">
        <w:rPr>
          <w:rFonts w:ascii="Times New Roman" w:hAnsi="Times New Roman" w:cs="Times New Roman"/>
          <w:lang w:val="ro-MD"/>
        </w:rPr>
        <w:t xml:space="preserve"> anul preceden</w:t>
      </w:r>
      <w:r w:rsidRPr="00FC109D">
        <w:rPr>
          <w:rFonts w:ascii="Times New Roman" w:hAnsi="Times New Roman" w:cs="Times New Roman"/>
          <w:lang w:val="ro-MD"/>
        </w:rPr>
        <w:t>t,</w:t>
      </w:r>
      <w:r w:rsidR="005E6A42" w:rsidRPr="00FC109D">
        <w:rPr>
          <w:rFonts w:ascii="Times New Roman" w:hAnsi="Times New Roman" w:cs="Times New Roman"/>
          <w:lang w:val="ro-MD"/>
        </w:rPr>
        <w:t xml:space="preserve"> </w:t>
      </w:r>
      <w:r w:rsidRPr="00FC109D">
        <w:rPr>
          <w:rFonts w:ascii="Times New Roman" w:hAnsi="Times New Roman" w:cs="Times New Roman"/>
          <w:lang w:val="ro-MD"/>
        </w:rPr>
        <w:t>eficacitatea ODIMM și MIEPO este de</w:t>
      </w:r>
      <w:r w:rsidR="00231129" w:rsidRPr="00FC109D">
        <w:rPr>
          <w:rFonts w:ascii="Times New Roman" w:hAnsi="Times New Roman" w:cs="Times New Roman"/>
          <w:lang w:val="ro-MD"/>
        </w:rPr>
        <w:t xml:space="preserve"> 73 și</w:t>
      </w:r>
      <w:r w:rsidRPr="00FC109D">
        <w:rPr>
          <w:rFonts w:ascii="Times New Roman" w:hAnsi="Times New Roman" w:cs="Times New Roman"/>
          <w:lang w:val="ro-MD"/>
        </w:rPr>
        <w:t xml:space="preserve"> respectiv,</w:t>
      </w:r>
      <w:r w:rsidR="00231129" w:rsidRPr="00FC109D">
        <w:rPr>
          <w:rFonts w:ascii="Times New Roman" w:hAnsi="Times New Roman" w:cs="Times New Roman"/>
          <w:lang w:val="ro-MD"/>
        </w:rPr>
        <w:t xml:space="preserve"> 35 la sută, în timp ce</w:t>
      </w:r>
      <w:r w:rsidRPr="00FC109D">
        <w:rPr>
          <w:rFonts w:ascii="Times New Roman" w:hAnsi="Times New Roman" w:cs="Times New Roman"/>
          <w:lang w:val="ro-MD"/>
        </w:rPr>
        <w:t xml:space="preserve"> sensibilizarea</w:t>
      </w:r>
      <w:r w:rsidR="00231129" w:rsidRPr="00FC109D">
        <w:rPr>
          <w:rFonts w:ascii="Times New Roman" w:hAnsi="Times New Roman" w:cs="Times New Roman"/>
          <w:lang w:val="ro-MD"/>
        </w:rPr>
        <w:t xml:space="preserve"> a fost de 2 și 0</w:t>
      </w:r>
      <w:r w:rsidR="002C124D" w:rsidRPr="00FC109D">
        <w:rPr>
          <w:rFonts w:ascii="Times New Roman" w:hAnsi="Times New Roman" w:cs="Times New Roman"/>
          <w:lang w:val="ro-MD"/>
        </w:rPr>
        <w:t>,1</w:t>
      </w:r>
      <w:r w:rsidR="00231129" w:rsidRPr="00FC109D">
        <w:rPr>
          <w:rFonts w:ascii="Times New Roman" w:hAnsi="Times New Roman" w:cs="Times New Roman"/>
          <w:lang w:val="ro-MD"/>
        </w:rPr>
        <w:t xml:space="preserve"> procente. În acest an, sondajul a început la mijlocul lunii septembrie, </w:t>
      </w:r>
      <w:r w:rsidRPr="00FC109D">
        <w:rPr>
          <w:rFonts w:ascii="Times New Roman" w:hAnsi="Times New Roman" w:cs="Times New Roman"/>
          <w:lang w:val="ro-MD"/>
        </w:rPr>
        <w:t>prin</w:t>
      </w:r>
      <w:r w:rsidR="00231129" w:rsidRPr="00FC109D">
        <w:rPr>
          <w:rFonts w:ascii="Times New Roman" w:hAnsi="Times New Roman" w:cs="Times New Roman"/>
          <w:lang w:val="ro-MD"/>
        </w:rPr>
        <w:t xml:space="preserve"> actualizarea bazelor de date ale beneficiaril</w:t>
      </w:r>
      <w:r w:rsidRPr="00FC109D">
        <w:rPr>
          <w:rFonts w:ascii="Times New Roman" w:hAnsi="Times New Roman" w:cs="Times New Roman"/>
          <w:lang w:val="ro-MD"/>
        </w:rPr>
        <w:t>or ODIMM și MIEPO și testarea</w:t>
      </w:r>
      <w:r w:rsidR="00231129" w:rsidRPr="00FC109D">
        <w:rPr>
          <w:rFonts w:ascii="Times New Roman" w:hAnsi="Times New Roman" w:cs="Times New Roman"/>
          <w:lang w:val="ro-MD"/>
        </w:rPr>
        <w:t xml:space="preserve"> chestionar</w:t>
      </w:r>
      <w:r w:rsidRPr="00FC109D">
        <w:rPr>
          <w:rFonts w:ascii="Times New Roman" w:hAnsi="Times New Roman" w:cs="Times New Roman"/>
          <w:lang w:val="ro-MD"/>
        </w:rPr>
        <w:t xml:space="preserve">ului. </w:t>
      </w:r>
    </w:p>
    <w:p w14:paraId="16C29885" w14:textId="4A1E8AA7" w:rsidR="00AB7FAC" w:rsidRPr="00FC109D" w:rsidRDefault="0073066B" w:rsidP="002C7C89">
      <w:pPr>
        <w:jc w:val="both"/>
        <w:rPr>
          <w:rFonts w:ascii="Times New Roman" w:hAnsi="Times New Roman" w:cs="Times New Roman"/>
          <w:lang w:val="ro-MD"/>
        </w:rPr>
      </w:pPr>
      <w:r w:rsidRPr="00FC109D">
        <w:rPr>
          <w:rFonts w:ascii="Times New Roman" w:hAnsi="Times New Roman" w:cs="Times New Roman"/>
          <w:b/>
          <w:lang w:val="ro-MD"/>
        </w:rPr>
        <w:t xml:space="preserve">Portal web ODIMM și </w:t>
      </w:r>
      <w:r w:rsidR="004E11DB" w:rsidRPr="00FC109D">
        <w:rPr>
          <w:rFonts w:ascii="Times New Roman" w:hAnsi="Times New Roman" w:cs="Times New Roman"/>
          <w:b/>
          <w:lang w:val="ro-MD"/>
        </w:rPr>
        <w:t>B</w:t>
      </w:r>
      <w:r w:rsidRPr="00FC109D">
        <w:rPr>
          <w:rFonts w:ascii="Times New Roman" w:hAnsi="Times New Roman" w:cs="Times New Roman"/>
          <w:b/>
          <w:lang w:val="ro-MD"/>
        </w:rPr>
        <w:t>aza de date privind Serviciile de Dezvoltare în Afaceri</w:t>
      </w:r>
      <w:r w:rsidRPr="00FC109D">
        <w:rPr>
          <w:rFonts w:ascii="Times New Roman" w:hAnsi="Times New Roman" w:cs="Times New Roman"/>
          <w:lang w:val="ro-MD"/>
        </w:rPr>
        <w:t xml:space="preserve">. Cu scopul de a crește sensibilizarea și eficiența, este foarte important ca pagina web ODIMM să fie actualizată. </w:t>
      </w:r>
      <w:r w:rsidR="002C124D" w:rsidRPr="00FC109D">
        <w:rPr>
          <w:rFonts w:ascii="Times New Roman" w:hAnsi="Times New Roman" w:cs="Times New Roman"/>
          <w:lang w:val="ro-MD"/>
        </w:rPr>
        <w:t>Proiectul</w:t>
      </w:r>
      <w:r w:rsidRPr="00FC109D">
        <w:rPr>
          <w:rFonts w:ascii="Times New Roman" w:hAnsi="Times New Roman" w:cs="Times New Roman"/>
          <w:lang w:val="ro-MD"/>
        </w:rPr>
        <w:t xml:space="preserve"> a desfășurat mai multe întâlniri cu personalul ODIMM și a elaborat </w:t>
      </w:r>
      <w:r w:rsidR="002C124D" w:rsidRPr="00FC109D">
        <w:rPr>
          <w:rFonts w:ascii="Times New Roman" w:hAnsi="Times New Roman" w:cs="Times New Roman"/>
          <w:lang w:val="ro-MD"/>
        </w:rPr>
        <w:t>caietul de sarcini</w:t>
      </w:r>
      <w:r w:rsidRPr="00FC109D">
        <w:rPr>
          <w:rFonts w:ascii="Times New Roman" w:hAnsi="Times New Roman" w:cs="Times New Roman"/>
          <w:lang w:val="ro-MD"/>
        </w:rPr>
        <w:t xml:space="preserve"> pentru un portal de afaceri interactiv, care va asigura interoperabilitatea paginii web modernizate, </w:t>
      </w:r>
      <w:r w:rsidR="00C64149" w:rsidRPr="00FC109D">
        <w:rPr>
          <w:rFonts w:ascii="Times New Roman" w:hAnsi="Times New Roman" w:cs="Times New Roman"/>
          <w:lang w:val="ro-MD"/>
        </w:rPr>
        <w:t xml:space="preserve">a </w:t>
      </w:r>
      <w:r w:rsidRPr="00FC109D">
        <w:rPr>
          <w:rFonts w:ascii="Times New Roman" w:hAnsi="Times New Roman" w:cs="Times New Roman"/>
          <w:lang w:val="ro-MD"/>
        </w:rPr>
        <w:t>baz</w:t>
      </w:r>
      <w:r w:rsidR="00C64149" w:rsidRPr="00FC109D">
        <w:rPr>
          <w:rFonts w:ascii="Times New Roman" w:hAnsi="Times New Roman" w:cs="Times New Roman"/>
          <w:lang w:val="ro-MD"/>
        </w:rPr>
        <w:t>ei</w:t>
      </w:r>
      <w:r w:rsidRPr="00FC109D">
        <w:rPr>
          <w:rFonts w:ascii="Times New Roman" w:hAnsi="Times New Roman" w:cs="Times New Roman"/>
          <w:lang w:val="ro-MD"/>
        </w:rPr>
        <w:t xml:space="preserve"> de date </w:t>
      </w:r>
      <w:r w:rsidR="00C64149" w:rsidRPr="00FC109D">
        <w:rPr>
          <w:rFonts w:ascii="Times New Roman" w:hAnsi="Times New Roman" w:cs="Times New Roman"/>
          <w:lang w:val="ro-MD"/>
        </w:rPr>
        <w:t>cu</w:t>
      </w:r>
      <w:r w:rsidRPr="00FC109D">
        <w:rPr>
          <w:rFonts w:ascii="Times New Roman" w:hAnsi="Times New Roman" w:cs="Times New Roman"/>
          <w:lang w:val="ro-MD"/>
        </w:rPr>
        <w:t xml:space="preserve"> prestatori</w:t>
      </w:r>
      <w:r w:rsidR="00C64149" w:rsidRPr="00FC109D">
        <w:rPr>
          <w:rFonts w:ascii="Times New Roman" w:hAnsi="Times New Roman" w:cs="Times New Roman"/>
          <w:lang w:val="ro-MD"/>
        </w:rPr>
        <w:t>i</w:t>
      </w:r>
      <w:r w:rsidRPr="00FC109D">
        <w:rPr>
          <w:rFonts w:ascii="Times New Roman" w:hAnsi="Times New Roman" w:cs="Times New Roman"/>
          <w:lang w:val="ro-MD"/>
        </w:rPr>
        <w:t xml:space="preserve"> de servicii în afaceri, precum și </w:t>
      </w:r>
      <w:r w:rsidR="00AA4AE3" w:rsidRPr="00FC109D">
        <w:rPr>
          <w:rFonts w:ascii="Times New Roman" w:hAnsi="Times New Roman" w:cs="Times New Roman"/>
          <w:lang w:val="ro-MD"/>
        </w:rPr>
        <w:t xml:space="preserve">a </w:t>
      </w:r>
      <w:r w:rsidRPr="00FC109D">
        <w:rPr>
          <w:rFonts w:ascii="Times New Roman" w:hAnsi="Times New Roman" w:cs="Times New Roman"/>
          <w:lang w:val="ro-MD"/>
        </w:rPr>
        <w:t>alt</w:t>
      </w:r>
      <w:r w:rsidR="00AA4AE3" w:rsidRPr="00FC109D">
        <w:rPr>
          <w:rFonts w:ascii="Times New Roman" w:hAnsi="Times New Roman" w:cs="Times New Roman"/>
          <w:lang w:val="ro-MD"/>
        </w:rPr>
        <w:t>or</w:t>
      </w:r>
      <w:r w:rsidRPr="00FC109D">
        <w:rPr>
          <w:rFonts w:ascii="Times New Roman" w:hAnsi="Times New Roman" w:cs="Times New Roman"/>
          <w:lang w:val="ro-MD"/>
        </w:rPr>
        <w:t xml:space="preserve"> elemente ale </w:t>
      </w:r>
      <w:r w:rsidR="00C64149" w:rsidRPr="00FC109D">
        <w:rPr>
          <w:rFonts w:ascii="Times New Roman" w:hAnsi="Times New Roman" w:cs="Times New Roman"/>
          <w:lang w:val="ro-MD"/>
        </w:rPr>
        <w:t>portalului</w:t>
      </w:r>
      <w:r w:rsidRPr="00FC109D">
        <w:rPr>
          <w:rFonts w:ascii="Times New Roman" w:hAnsi="Times New Roman" w:cs="Times New Roman"/>
          <w:lang w:val="ro-MD"/>
        </w:rPr>
        <w:t xml:space="preserve">. </w:t>
      </w:r>
      <w:r w:rsidR="00C64149" w:rsidRPr="00FC109D">
        <w:rPr>
          <w:rFonts w:ascii="Times New Roman" w:hAnsi="Times New Roman" w:cs="Times New Roman"/>
          <w:lang w:val="ro-MD"/>
        </w:rPr>
        <w:t>Totodată</w:t>
      </w:r>
      <w:r w:rsidRPr="00FC109D">
        <w:rPr>
          <w:rFonts w:ascii="Times New Roman" w:hAnsi="Times New Roman" w:cs="Times New Roman"/>
          <w:lang w:val="ro-MD"/>
        </w:rPr>
        <w:t xml:space="preserve">, </w:t>
      </w:r>
      <w:r w:rsidR="00C64149" w:rsidRPr="00FC109D">
        <w:rPr>
          <w:rFonts w:ascii="Times New Roman" w:hAnsi="Times New Roman" w:cs="Times New Roman"/>
          <w:lang w:val="ro-MD"/>
        </w:rPr>
        <w:t xml:space="preserve">portalul </w:t>
      </w:r>
      <w:r w:rsidRPr="00FC109D">
        <w:rPr>
          <w:rFonts w:ascii="Times New Roman" w:hAnsi="Times New Roman" w:cs="Times New Roman"/>
          <w:lang w:val="ro-MD"/>
        </w:rPr>
        <w:t>va permite</w:t>
      </w:r>
      <w:r w:rsidR="00C64149" w:rsidRPr="00FC109D">
        <w:rPr>
          <w:rFonts w:ascii="Times New Roman" w:hAnsi="Times New Roman" w:cs="Times New Roman"/>
          <w:lang w:val="ro-MD"/>
        </w:rPr>
        <w:t xml:space="preserve"> </w:t>
      </w:r>
      <w:r w:rsidRPr="00FC109D">
        <w:rPr>
          <w:rFonts w:ascii="Times New Roman" w:hAnsi="Times New Roman" w:cs="Times New Roman"/>
          <w:lang w:val="ro-MD"/>
        </w:rPr>
        <w:t xml:space="preserve"> </w:t>
      </w:r>
      <w:r w:rsidR="00C64149" w:rsidRPr="00FC109D">
        <w:rPr>
          <w:rFonts w:ascii="Times New Roman" w:hAnsi="Times New Roman" w:cs="Times New Roman"/>
          <w:lang w:val="ro-MD"/>
        </w:rPr>
        <w:t xml:space="preserve">clasificarea și aprecierea prestatorilor de servicii în afaceri </w:t>
      </w:r>
      <w:r w:rsidRPr="00FC109D">
        <w:rPr>
          <w:rFonts w:ascii="Times New Roman" w:hAnsi="Times New Roman" w:cs="Times New Roman"/>
          <w:lang w:val="ro-MD"/>
        </w:rPr>
        <w:t>de către beneficiar</w:t>
      </w:r>
      <w:r w:rsidR="00C64149" w:rsidRPr="00FC109D">
        <w:rPr>
          <w:rFonts w:ascii="Times New Roman" w:hAnsi="Times New Roman" w:cs="Times New Roman"/>
          <w:lang w:val="ro-MD"/>
        </w:rPr>
        <w:t>i</w:t>
      </w:r>
      <w:r w:rsidRPr="00FC109D">
        <w:rPr>
          <w:rFonts w:ascii="Times New Roman" w:hAnsi="Times New Roman" w:cs="Times New Roman"/>
          <w:lang w:val="ro-MD"/>
        </w:rPr>
        <w:t>i</w:t>
      </w:r>
      <w:r w:rsidR="00C64149" w:rsidRPr="00FC109D">
        <w:rPr>
          <w:rFonts w:ascii="Times New Roman" w:hAnsi="Times New Roman" w:cs="Times New Roman"/>
          <w:lang w:val="ro-MD"/>
        </w:rPr>
        <w:t xml:space="preserve"> </w:t>
      </w:r>
      <w:r w:rsidR="00CC19B7" w:rsidRPr="00FC109D">
        <w:rPr>
          <w:rFonts w:ascii="Times New Roman" w:hAnsi="Times New Roman" w:cs="Times New Roman"/>
          <w:lang w:val="ro-MD"/>
        </w:rPr>
        <w:t>C</w:t>
      </w:r>
      <w:r w:rsidR="002C124D" w:rsidRPr="00FC109D">
        <w:rPr>
          <w:rFonts w:ascii="Times New Roman" w:hAnsi="Times New Roman" w:cs="Times New Roman"/>
          <w:lang w:val="ro-MD"/>
        </w:rPr>
        <w:t>omponentei de granturi</w:t>
      </w:r>
      <w:r w:rsidRPr="00FC109D">
        <w:rPr>
          <w:rFonts w:ascii="Times New Roman" w:hAnsi="Times New Roman" w:cs="Times New Roman"/>
          <w:lang w:val="ro-MD"/>
        </w:rPr>
        <w:t xml:space="preserve"> și alți utilizatori. </w:t>
      </w:r>
      <w:r w:rsidR="00C64149" w:rsidRPr="00FC109D">
        <w:rPr>
          <w:rFonts w:ascii="Times New Roman" w:hAnsi="Times New Roman" w:cs="Times New Roman"/>
          <w:lang w:val="ro-MD"/>
        </w:rPr>
        <w:t>Acest</w:t>
      </w:r>
      <w:r w:rsidRPr="00FC109D">
        <w:rPr>
          <w:rFonts w:ascii="Times New Roman" w:hAnsi="Times New Roman" w:cs="Times New Roman"/>
          <w:lang w:val="ro-MD"/>
        </w:rPr>
        <w:t xml:space="preserve"> produs </w:t>
      </w:r>
      <w:r w:rsidR="00C64149" w:rsidRPr="00FC109D">
        <w:rPr>
          <w:rFonts w:ascii="Times New Roman" w:hAnsi="Times New Roman" w:cs="Times New Roman"/>
          <w:lang w:val="ro-MD"/>
        </w:rPr>
        <w:t>va avea</w:t>
      </w:r>
      <w:r w:rsidRPr="00FC109D">
        <w:rPr>
          <w:rFonts w:ascii="Times New Roman" w:hAnsi="Times New Roman" w:cs="Times New Roman"/>
          <w:lang w:val="ro-MD"/>
        </w:rPr>
        <w:t xml:space="preserve"> un </w:t>
      </w:r>
      <w:r w:rsidR="00637633" w:rsidRPr="00FC109D">
        <w:rPr>
          <w:rFonts w:ascii="Times New Roman" w:hAnsi="Times New Roman" w:cs="Times New Roman"/>
          <w:lang w:val="ro-MD"/>
        </w:rPr>
        <w:t>ef</w:t>
      </w:r>
      <w:r w:rsidR="00C64149" w:rsidRPr="00FC109D">
        <w:rPr>
          <w:rFonts w:ascii="Times New Roman" w:hAnsi="Times New Roman" w:cs="Times New Roman"/>
          <w:lang w:val="ro-MD"/>
        </w:rPr>
        <w:t>ect pozitiv</w:t>
      </w:r>
      <w:r w:rsidRPr="00FC109D">
        <w:rPr>
          <w:rFonts w:ascii="Times New Roman" w:hAnsi="Times New Roman" w:cs="Times New Roman"/>
          <w:lang w:val="ro-MD"/>
        </w:rPr>
        <w:t xml:space="preserve"> asupra </w:t>
      </w:r>
      <w:r w:rsidR="00C64149" w:rsidRPr="00FC109D">
        <w:rPr>
          <w:rFonts w:ascii="Times New Roman" w:hAnsi="Times New Roman" w:cs="Times New Roman"/>
          <w:lang w:val="ro-MD"/>
        </w:rPr>
        <w:t>sensibilizării</w:t>
      </w:r>
      <w:r w:rsidRPr="00FC109D">
        <w:rPr>
          <w:rFonts w:ascii="Times New Roman" w:hAnsi="Times New Roman" w:cs="Times New Roman"/>
          <w:lang w:val="ro-MD"/>
        </w:rPr>
        <w:t xml:space="preserve"> </w:t>
      </w:r>
      <w:r w:rsidR="00C64149" w:rsidRPr="00FC109D">
        <w:rPr>
          <w:rFonts w:ascii="Times New Roman" w:hAnsi="Times New Roman" w:cs="Times New Roman"/>
          <w:lang w:val="ro-MD"/>
        </w:rPr>
        <w:t>publicului despre</w:t>
      </w:r>
      <w:r w:rsidR="00AA4AE3" w:rsidRPr="00FC109D">
        <w:rPr>
          <w:rFonts w:ascii="Times New Roman" w:hAnsi="Times New Roman" w:cs="Times New Roman"/>
          <w:lang w:val="ro-MD"/>
        </w:rPr>
        <w:t xml:space="preserve"> activitatea</w:t>
      </w:r>
      <w:r w:rsidR="00C64149" w:rsidRPr="00FC109D">
        <w:rPr>
          <w:rFonts w:ascii="Times New Roman" w:hAnsi="Times New Roman" w:cs="Times New Roman"/>
          <w:lang w:val="ro-MD"/>
        </w:rPr>
        <w:t xml:space="preserve"> ODIMM</w:t>
      </w:r>
      <w:r w:rsidRPr="00FC109D">
        <w:rPr>
          <w:rFonts w:ascii="Times New Roman" w:hAnsi="Times New Roman" w:cs="Times New Roman"/>
          <w:lang w:val="ro-MD"/>
        </w:rPr>
        <w:t xml:space="preserve"> și</w:t>
      </w:r>
      <w:r w:rsidR="00C64149" w:rsidRPr="00FC109D">
        <w:rPr>
          <w:rFonts w:ascii="Times New Roman" w:hAnsi="Times New Roman" w:cs="Times New Roman"/>
          <w:lang w:val="ro-MD"/>
        </w:rPr>
        <w:t>,</w:t>
      </w:r>
      <w:r w:rsidRPr="00FC109D">
        <w:rPr>
          <w:rFonts w:ascii="Times New Roman" w:hAnsi="Times New Roman" w:cs="Times New Roman"/>
          <w:lang w:val="ro-MD"/>
        </w:rPr>
        <w:t xml:space="preserve"> prin urmare, </w:t>
      </w:r>
      <w:r w:rsidR="00C64149" w:rsidRPr="00FC109D">
        <w:rPr>
          <w:rFonts w:ascii="Times New Roman" w:hAnsi="Times New Roman" w:cs="Times New Roman"/>
          <w:lang w:val="ro-MD"/>
        </w:rPr>
        <w:t xml:space="preserve">despre </w:t>
      </w:r>
      <w:r w:rsidRPr="00FC109D">
        <w:rPr>
          <w:rFonts w:ascii="Times New Roman" w:hAnsi="Times New Roman" w:cs="Times New Roman"/>
          <w:lang w:val="ro-MD"/>
        </w:rPr>
        <w:t xml:space="preserve">beneficiile obținute de IMM-uri și </w:t>
      </w:r>
      <w:r w:rsidR="00C64149" w:rsidRPr="00FC109D">
        <w:rPr>
          <w:rFonts w:ascii="Times New Roman" w:hAnsi="Times New Roman" w:cs="Times New Roman"/>
          <w:lang w:val="ro-MD"/>
        </w:rPr>
        <w:t>prestatorii</w:t>
      </w:r>
      <w:r w:rsidRPr="00FC109D">
        <w:rPr>
          <w:rFonts w:ascii="Times New Roman" w:hAnsi="Times New Roman" w:cs="Times New Roman"/>
          <w:lang w:val="ro-MD"/>
        </w:rPr>
        <w:t xml:space="preserve"> de servicii. </w:t>
      </w:r>
    </w:p>
    <w:p w14:paraId="4261EC86" w14:textId="00015150" w:rsidR="00637633" w:rsidRPr="00FC109D" w:rsidRDefault="00637633" w:rsidP="002C7C89">
      <w:pPr>
        <w:jc w:val="both"/>
        <w:rPr>
          <w:rFonts w:ascii="Times New Roman" w:hAnsi="Times New Roman" w:cs="Times New Roman"/>
          <w:lang w:val="ro-MD"/>
        </w:rPr>
      </w:pPr>
      <w:r w:rsidRPr="00FC109D">
        <w:rPr>
          <w:rFonts w:ascii="Times New Roman" w:hAnsi="Times New Roman" w:cs="Times New Roman"/>
          <w:b/>
          <w:lang w:val="ro-MD"/>
        </w:rPr>
        <w:t>Platforma e-</w:t>
      </w:r>
      <w:proofErr w:type="spellStart"/>
      <w:r w:rsidRPr="00FC109D">
        <w:rPr>
          <w:rFonts w:ascii="Times New Roman" w:hAnsi="Times New Roman" w:cs="Times New Roman"/>
          <w:b/>
          <w:lang w:val="ro-MD"/>
        </w:rPr>
        <w:t>learning</w:t>
      </w:r>
      <w:proofErr w:type="spellEnd"/>
      <w:r w:rsidRPr="00FC109D">
        <w:rPr>
          <w:rFonts w:ascii="Times New Roman" w:hAnsi="Times New Roman" w:cs="Times New Roman"/>
          <w:b/>
          <w:lang w:val="ro-MD"/>
        </w:rPr>
        <w:t xml:space="preserve"> ODIMM.</w:t>
      </w:r>
      <w:r w:rsidRPr="00FC109D">
        <w:rPr>
          <w:rFonts w:ascii="Times New Roman" w:hAnsi="Times New Roman" w:cs="Times New Roman"/>
          <w:lang w:val="ro-MD"/>
        </w:rPr>
        <w:t xml:space="preserve"> O altă activitate din cadrul acestei componente, este elaborarea conceptului și</w:t>
      </w:r>
      <w:r w:rsidR="00805690" w:rsidRPr="00FC109D">
        <w:rPr>
          <w:rFonts w:ascii="Times New Roman" w:hAnsi="Times New Roman" w:cs="Times New Roman"/>
          <w:lang w:val="ro-MD"/>
        </w:rPr>
        <w:t xml:space="preserve"> a cerințelor</w:t>
      </w:r>
      <w:r w:rsidRPr="00FC109D">
        <w:rPr>
          <w:rFonts w:ascii="Times New Roman" w:hAnsi="Times New Roman" w:cs="Times New Roman"/>
          <w:lang w:val="ro-MD"/>
        </w:rPr>
        <w:t xml:space="preserve"> </w:t>
      </w:r>
      <w:r w:rsidR="00480197" w:rsidRPr="00FC109D">
        <w:rPr>
          <w:rFonts w:ascii="Times New Roman" w:hAnsi="Times New Roman" w:cs="Times New Roman"/>
          <w:lang w:val="ro-MD"/>
        </w:rPr>
        <w:t>privind</w:t>
      </w:r>
      <w:r w:rsidRPr="00FC109D">
        <w:rPr>
          <w:rFonts w:ascii="Times New Roman" w:hAnsi="Times New Roman" w:cs="Times New Roman"/>
          <w:lang w:val="ro-MD"/>
        </w:rPr>
        <w:t xml:space="preserve"> platform</w:t>
      </w:r>
      <w:r w:rsidR="00480197" w:rsidRPr="00FC109D">
        <w:rPr>
          <w:rFonts w:ascii="Times New Roman" w:hAnsi="Times New Roman" w:cs="Times New Roman"/>
          <w:lang w:val="ro-MD"/>
        </w:rPr>
        <w:t>a</w:t>
      </w:r>
      <w:r w:rsidRPr="00FC109D">
        <w:rPr>
          <w:rFonts w:ascii="Times New Roman" w:hAnsi="Times New Roman" w:cs="Times New Roman"/>
          <w:lang w:val="ro-MD"/>
        </w:rPr>
        <w:t xml:space="preserve"> </w:t>
      </w:r>
      <w:r w:rsidR="00480197" w:rsidRPr="00FC109D">
        <w:rPr>
          <w:rFonts w:ascii="Times New Roman" w:hAnsi="Times New Roman" w:cs="Times New Roman"/>
          <w:lang w:val="ro-MD"/>
        </w:rPr>
        <w:t xml:space="preserve">de </w:t>
      </w:r>
      <w:r w:rsidRPr="00FC109D">
        <w:rPr>
          <w:rFonts w:ascii="Times New Roman" w:hAnsi="Times New Roman" w:cs="Times New Roman"/>
          <w:lang w:val="ro-MD"/>
        </w:rPr>
        <w:t>e-</w:t>
      </w:r>
      <w:proofErr w:type="spellStart"/>
      <w:r w:rsidRPr="00FC109D">
        <w:rPr>
          <w:rFonts w:ascii="Times New Roman" w:hAnsi="Times New Roman" w:cs="Times New Roman"/>
          <w:lang w:val="ro-MD"/>
        </w:rPr>
        <w:t>learning</w:t>
      </w:r>
      <w:proofErr w:type="spellEnd"/>
      <w:r w:rsidRPr="00FC109D">
        <w:rPr>
          <w:rFonts w:ascii="Times New Roman" w:hAnsi="Times New Roman" w:cs="Times New Roman"/>
          <w:lang w:val="ro-MD"/>
        </w:rPr>
        <w:t>. Punerea în aplica</w:t>
      </w:r>
      <w:r w:rsidR="00480197" w:rsidRPr="00FC109D">
        <w:rPr>
          <w:rFonts w:ascii="Times New Roman" w:hAnsi="Times New Roman" w:cs="Times New Roman"/>
          <w:lang w:val="ro-MD"/>
        </w:rPr>
        <w:t>re a platformei de e-</w:t>
      </w:r>
      <w:proofErr w:type="spellStart"/>
      <w:r w:rsidR="00480197" w:rsidRPr="00FC109D">
        <w:rPr>
          <w:rFonts w:ascii="Times New Roman" w:hAnsi="Times New Roman" w:cs="Times New Roman"/>
          <w:lang w:val="ro-MD"/>
        </w:rPr>
        <w:t>learning</w:t>
      </w:r>
      <w:proofErr w:type="spellEnd"/>
      <w:r w:rsidR="00480197" w:rsidRPr="00FC109D">
        <w:rPr>
          <w:rFonts w:ascii="Times New Roman" w:hAnsi="Times New Roman" w:cs="Times New Roman"/>
          <w:lang w:val="ro-MD"/>
        </w:rPr>
        <w:t xml:space="preserve"> în cadrul</w:t>
      </w:r>
      <w:r w:rsidRPr="00FC109D">
        <w:rPr>
          <w:rFonts w:ascii="Times New Roman" w:hAnsi="Times New Roman" w:cs="Times New Roman"/>
          <w:lang w:val="ro-MD"/>
        </w:rPr>
        <w:t xml:space="preserve"> ODIMM va permite diversificarea </w:t>
      </w:r>
      <w:r w:rsidR="00480197" w:rsidRPr="00FC109D">
        <w:rPr>
          <w:rFonts w:ascii="Times New Roman" w:hAnsi="Times New Roman" w:cs="Times New Roman"/>
          <w:lang w:val="ro-MD"/>
        </w:rPr>
        <w:t xml:space="preserve">subiectelor </w:t>
      </w:r>
      <w:r w:rsidRPr="00FC109D">
        <w:rPr>
          <w:rFonts w:ascii="Times New Roman" w:hAnsi="Times New Roman" w:cs="Times New Roman"/>
          <w:lang w:val="ro-MD"/>
        </w:rPr>
        <w:t xml:space="preserve">de </w:t>
      </w:r>
      <w:r w:rsidR="00480197" w:rsidRPr="00FC109D">
        <w:rPr>
          <w:rFonts w:ascii="Times New Roman" w:hAnsi="Times New Roman" w:cs="Times New Roman"/>
          <w:lang w:val="ro-MD"/>
        </w:rPr>
        <w:t>instruire</w:t>
      </w:r>
      <w:r w:rsidRPr="00FC109D">
        <w:rPr>
          <w:rFonts w:ascii="Times New Roman" w:hAnsi="Times New Roman" w:cs="Times New Roman"/>
          <w:lang w:val="ro-MD"/>
        </w:rPr>
        <w:t xml:space="preserve"> și </w:t>
      </w:r>
      <w:r w:rsidR="00961577" w:rsidRPr="00FC109D">
        <w:rPr>
          <w:rFonts w:ascii="Times New Roman" w:hAnsi="Times New Roman" w:cs="Times New Roman"/>
          <w:lang w:val="ro-MD"/>
        </w:rPr>
        <w:t>accesibilitatea</w:t>
      </w:r>
      <w:r w:rsidRPr="00FC109D">
        <w:rPr>
          <w:rFonts w:ascii="Times New Roman" w:hAnsi="Times New Roman" w:cs="Times New Roman"/>
          <w:lang w:val="ro-MD"/>
        </w:rPr>
        <w:t xml:space="preserve"> pentru întreprinderi</w:t>
      </w:r>
      <w:r w:rsidR="00961577" w:rsidRPr="00FC109D">
        <w:rPr>
          <w:rFonts w:ascii="Times New Roman" w:hAnsi="Times New Roman" w:cs="Times New Roman"/>
          <w:lang w:val="ro-MD"/>
        </w:rPr>
        <w:t>,</w:t>
      </w:r>
      <w:r w:rsidRPr="00FC109D">
        <w:rPr>
          <w:rFonts w:ascii="Times New Roman" w:hAnsi="Times New Roman" w:cs="Times New Roman"/>
          <w:lang w:val="ro-MD"/>
        </w:rPr>
        <w:t xml:space="preserve"> pr</w:t>
      </w:r>
      <w:r w:rsidR="00961577" w:rsidRPr="00FC109D">
        <w:rPr>
          <w:rFonts w:ascii="Times New Roman" w:hAnsi="Times New Roman" w:cs="Times New Roman"/>
          <w:lang w:val="ro-MD"/>
        </w:rPr>
        <w:t xml:space="preserve">ecum și creșterea eficienței </w:t>
      </w:r>
      <w:r w:rsidRPr="00FC109D">
        <w:rPr>
          <w:rFonts w:ascii="Times New Roman" w:hAnsi="Times New Roman" w:cs="Times New Roman"/>
          <w:lang w:val="ro-MD"/>
        </w:rPr>
        <w:t>programe</w:t>
      </w:r>
      <w:r w:rsidR="00961577" w:rsidRPr="00FC109D">
        <w:rPr>
          <w:rFonts w:ascii="Times New Roman" w:hAnsi="Times New Roman" w:cs="Times New Roman"/>
          <w:lang w:val="ro-MD"/>
        </w:rPr>
        <w:t>lor</w:t>
      </w:r>
      <w:r w:rsidRPr="00FC109D">
        <w:rPr>
          <w:rFonts w:ascii="Times New Roman" w:hAnsi="Times New Roman" w:cs="Times New Roman"/>
          <w:lang w:val="ro-MD"/>
        </w:rPr>
        <w:t xml:space="preserve">. </w:t>
      </w:r>
    </w:p>
    <w:p w14:paraId="41BBB216" w14:textId="2CB216C4" w:rsidR="00637633" w:rsidRPr="00FC109D" w:rsidRDefault="00961577" w:rsidP="002C7C89">
      <w:pPr>
        <w:jc w:val="both"/>
        <w:rPr>
          <w:rFonts w:ascii="Times New Roman" w:hAnsi="Times New Roman" w:cs="Times New Roman"/>
          <w:lang w:val="ro-MD"/>
        </w:rPr>
      </w:pPr>
      <w:r w:rsidRPr="00FC109D">
        <w:rPr>
          <w:rFonts w:ascii="Times New Roman" w:hAnsi="Times New Roman" w:cs="Times New Roman"/>
          <w:b/>
          <w:lang w:val="ro-MD"/>
        </w:rPr>
        <w:t>Regionalizarea ODIMM.</w:t>
      </w:r>
      <w:r w:rsidRPr="00FC109D">
        <w:rPr>
          <w:rFonts w:ascii="Times New Roman" w:hAnsi="Times New Roman" w:cs="Times New Roman"/>
          <w:lang w:val="ro-MD"/>
        </w:rPr>
        <w:t xml:space="preserve"> Organizația intenționează să deschidă două filiale regionale în mediul rural. Pentru dotarea acestor birouri, ODIMM va depune o cerere oficială </w:t>
      </w:r>
      <w:r w:rsidR="00154BB0" w:rsidRPr="00FC109D">
        <w:rPr>
          <w:rFonts w:ascii="Times New Roman" w:hAnsi="Times New Roman" w:cs="Times New Roman"/>
          <w:lang w:val="ro-MD"/>
        </w:rPr>
        <w:t>în adresa</w:t>
      </w:r>
      <w:r w:rsidRPr="00FC109D">
        <w:rPr>
          <w:rFonts w:ascii="Times New Roman" w:hAnsi="Times New Roman" w:cs="Times New Roman"/>
          <w:lang w:val="ro-MD"/>
        </w:rPr>
        <w:t xml:space="preserve"> </w:t>
      </w:r>
      <w:r w:rsidR="0040601F" w:rsidRPr="00FC109D">
        <w:rPr>
          <w:rFonts w:ascii="Times New Roman" w:hAnsi="Times New Roman" w:cs="Times New Roman"/>
          <w:lang w:val="ro-MD"/>
        </w:rPr>
        <w:t>Unit</w:t>
      </w:r>
      <w:r w:rsidR="005E6A42" w:rsidRPr="00FC109D">
        <w:rPr>
          <w:rFonts w:ascii="Times New Roman" w:hAnsi="Times New Roman" w:cs="Times New Roman"/>
          <w:lang w:val="ro-MD"/>
        </w:rPr>
        <w:t>ăț</w:t>
      </w:r>
      <w:r w:rsidR="0040601F" w:rsidRPr="00FC109D">
        <w:rPr>
          <w:rFonts w:ascii="Times New Roman" w:hAnsi="Times New Roman" w:cs="Times New Roman"/>
          <w:lang w:val="ro-MD"/>
        </w:rPr>
        <w:t>ii</w:t>
      </w:r>
      <w:r w:rsidR="00154BB0" w:rsidRPr="00FC109D">
        <w:rPr>
          <w:rFonts w:ascii="Times New Roman" w:hAnsi="Times New Roman" w:cs="Times New Roman"/>
          <w:lang w:val="ro-MD"/>
        </w:rPr>
        <w:t xml:space="preserve"> pentru a achiziționa mobilierul</w:t>
      </w:r>
      <w:r w:rsidRPr="00FC109D">
        <w:rPr>
          <w:rFonts w:ascii="Times New Roman" w:hAnsi="Times New Roman" w:cs="Times New Roman"/>
          <w:lang w:val="ro-MD"/>
        </w:rPr>
        <w:t xml:space="preserve"> și </w:t>
      </w:r>
      <w:r w:rsidR="00154BB0" w:rsidRPr="00FC109D">
        <w:rPr>
          <w:rFonts w:ascii="Times New Roman" w:hAnsi="Times New Roman" w:cs="Times New Roman"/>
          <w:lang w:val="ro-MD"/>
        </w:rPr>
        <w:t xml:space="preserve">echipamentul </w:t>
      </w:r>
      <w:r w:rsidRPr="00FC109D">
        <w:rPr>
          <w:rFonts w:ascii="Times New Roman" w:hAnsi="Times New Roman" w:cs="Times New Roman"/>
          <w:lang w:val="ro-MD"/>
        </w:rPr>
        <w:t>hardware</w:t>
      </w:r>
      <w:r w:rsidR="00154BB0" w:rsidRPr="00FC109D">
        <w:rPr>
          <w:rFonts w:ascii="Times New Roman" w:hAnsi="Times New Roman" w:cs="Times New Roman"/>
          <w:lang w:val="ro-MD"/>
        </w:rPr>
        <w:t xml:space="preserve"> necesar</w:t>
      </w:r>
      <w:r w:rsidRPr="00FC109D">
        <w:rPr>
          <w:rFonts w:ascii="Times New Roman" w:hAnsi="Times New Roman" w:cs="Times New Roman"/>
          <w:lang w:val="ro-MD"/>
        </w:rPr>
        <w:t xml:space="preserve"> (PC, imprimantă, scaner, etc.) pentru patru locuri de muncă. În același context de regionalizare, ODIMM a solicitat asistență </w:t>
      </w:r>
      <w:r w:rsidR="00154BB0" w:rsidRPr="00FC109D">
        <w:rPr>
          <w:rFonts w:ascii="Times New Roman" w:hAnsi="Times New Roman" w:cs="Times New Roman"/>
          <w:lang w:val="ro-MD"/>
        </w:rPr>
        <w:t>în</w:t>
      </w:r>
      <w:r w:rsidRPr="00FC109D">
        <w:rPr>
          <w:rFonts w:ascii="Times New Roman" w:hAnsi="Times New Roman" w:cs="Times New Roman"/>
          <w:lang w:val="ro-MD"/>
        </w:rPr>
        <w:t xml:space="preserve"> achizițion</w:t>
      </w:r>
      <w:r w:rsidR="00154BB0" w:rsidRPr="00FC109D">
        <w:rPr>
          <w:rFonts w:ascii="Times New Roman" w:hAnsi="Times New Roman" w:cs="Times New Roman"/>
          <w:lang w:val="ro-MD"/>
        </w:rPr>
        <w:t>area</w:t>
      </w:r>
      <w:r w:rsidRPr="00FC109D">
        <w:rPr>
          <w:rFonts w:ascii="Times New Roman" w:hAnsi="Times New Roman" w:cs="Times New Roman"/>
          <w:lang w:val="ro-MD"/>
        </w:rPr>
        <w:t xml:space="preserve"> un</w:t>
      </w:r>
      <w:r w:rsidR="00154BB0" w:rsidRPr="00FC109D">
        <w:rPr>
          <w:rFonts w:ascii="Times New Roman" w:hAnsi="Times New Roman" w:cs="Times New Roman"/>
          <w:lang w:val="ro-MD"/>
        </w:rPr>
        <w:t>ui</w:t>
      </w:r>
      <w:r w:rsidRPr="00FC109D">
        <w:rPr>
          <w:rFonts w:ascii="Times New Roman" w:hAnsi="Times New Roman" w:cs="Times New Roman"/>
          <w:lang w:val="ro-MD"/>
        </w:rPr>
        <w:t xml:space="preserve"> </w:t>
      </w:r>
      <w:r w:rsidR="00CC19B7" w:rsidRPr="00FC109D">
        <w:rPr>
          <w:rFonts w:ascii="Times New Roman" w:hAnsi="Times New Roman" w:cs="Times New Roman"/>
          <w:lang w:val="ro-MD"/>
        </w:rPr>
        <w:t xml:space="preserve">automobil </w:t>
      </w:r>
      <w:r w:rsidR="005E6A42" w:rsidRPr="00FC109D">
        <w:rPr>
          <w:rFonts w:ascii="Times New Roman" w:hAnsi="Times New Roman" w:cs="Times New Roman"/>
          <w:lang w:val="ro-MD"/>
        </w:rPr>
        <w:t xml:space="preserve">de tip </w:t>
      </w:r>
      <w:proofErr w:type="spellStart"/>
      <w:r w:rsidR="005E6A42" w:rsidRPr="00FC109D">
        <w:rPr>
          <w:rFonts w:ascii="Times New Roman" w:hAnsi="Times New Roman" w:cs="Times New Roman"/>
          <w:color w:val="000000" w:themeColor="text1"/>
          <w:lang w:val="ro-MD"/>
        </w:rPr>
        <w:t>minivan</w:t>
      </w:r>
      <w:proofErr w:type="spellEnd"/>
      <w:r w:rsidR="005E6A42" w:rsidRPr="00FC109D" w:rsidDel="00CC19B7">
        <w:rPr>
          <w:rFonts w:ascii="Times New Roman" w:hAnsi="Times New Roman" w:cs="Times New Roman"/>
          <w:lang w:val="ro-MD"/>
        </w:rPr>
        <w:t xml:space="preserve"> </w:t>
      </w:r>
      <w:r w:rsidR="00AA4AE3" w:rsidRPr="00FC109D">
        <w:rPr>
          <w:rFonts w:ascii="Times New Roman" w:hAnsi="Times New Roman" w:cs="Times New Roman"/>
          <w:lang w:val="ro-MD"/>
        </w:rPr>
        <w:t>pentru</w:t>
      </w:r>
      <w:r w:rsidR="00154BB0" w:rsidRPr="00FC109D">
        <w:rPr>
          <w:rFonts w:ascii="Times New Roman" w:hAnsi="Times New Roman" w:cs="Times New Roman"/>
          <w:lang w:val="ro-MD"/>
        </w:rPr>
        <w:t xml:space="preserve"> </w:t>
      </w:r>
      <w:r w:rsidRPr="00FC109D">
        <w:rPr>
          <w:rFonts w:ascii="Times New Roman" w:hAnsi="Times New Roman" w:cs="Times New Roman"/>
          <w:lang w:val="ro-MD"/>
        </w:rPr>
        <w:t xml:space="preserve">desfășurarea evenimentelor regionale de </w:t>
      </w:r>
      <w:r w:rsidR="00154BB0" w:rsidRPr="00FC109D">
        <w:rPr>
          <w:rFonts w:ascii="Times New Roman" w:hAnsi="Times New Roman" w:cs="Times New Roman"/>
          <w:lang w:val="ro-MD"/>
        </w:rPr>
        <w:t>instruire</w:t>
      </w:r>
      <w:r w:rsidRPr="00FC109D">
        <w:rPr>
          <w:rFonts w:ascii="Times New Roman" w:hAnsi="Times New Roman" w:cs="Times New Roman"/>
          <w:lang w:val="ro-MD"/>
        </w:rPr>
        <w:t xml:space="preserve"> și a vizitelor de monitorizare </w:t>
      </w:r>
      <w:r w:rsidR="00154BB0" w:rsidRPr="00FC109D">
        <w:rPr>
          <w:rFonts w:ascii="Times New Roman" w:hAnsi="Times New Roman" w:cs="Times New Roman"/>
          <w:lang w:val="ro-MD"/>
        </w:rPr>
        <w:t>la</w:t>
      </w:r>
      <w:r w:rsidRPr="00FC109D">
        <w:rPr>
          <w:rFonts w:ascii="Times New Roman" w:hAnsi="Times New Roman" w:cs="Times New Roman"/>
          <w:lang w:val="ro-MD"/>
        </w:rPr>
        <w:t xml:space="preserve"> beneficiari. Aceste activități au fost deja incluse în planul de achiziții revizuit al </w:t>
      </w:r>
      <w:r w:rsidR="005E6A42" w:rsidRPr="00FC109D">
        <w:rPr>
          <w:rFonts w:ascii="Times New Roman" w:hAnsi="Times New Roman" w:cs="Times New Roman"/>
          <w:lang w:val="ro-MD"/>
        </w:rPr>
        <w:t>P</w:t>
      </w:r>
      <w:r w:rsidRPr="00FC109D">
        <w:rPr>
          <w:rFonts w:ascii="Times New Roman" w:hAnsi="Times New Roman" w:cs="Times New Roman"/>
          <w:lang w:val="ro-MD"/>
        </w:rPr>
        <w:t xml:space="preserve">roiectului și la </w:t>
      </w:r>
      <w:r w:rsidR="00154BB0" w:rsidRPr="00FC109D">
        <w:rPr>
          <w:rFonts w:ascii="Times New Roman" w:hAnsi="Times New Roman" w:cs="Times New Roman"/>
          <w:lang w:val="ro-MD"/>
        </w:rPr>
        <w:t>recepționarea</w:t>
      </w:r>
      <w:r w:rsidRPr="00FC109D">
        <w:rPr>
          <w:rFonts w:ascii="Times New Roman" w:hAnsi="Times New Roman" w:cs="Times New Roman"/>
          <w:lang w:val="ro-MD"/>
        </w:rPr>
        <w:t xml:space="preserve"> unei cereri oficiale din partea ODIMM, </w:t>
      </w:r>
      <w:r w:rsidR="00CC19B7" w:rsidRPr="00FC109D">
        <w:rPr>
          <w:rFonts w:ascii="Times New Roman" w:hAnsi="Times New Roman" w:cs="Times New Roman"/>
          <w:lang w:val="ro-MD"/>
        </w:rPr>
        <w:t>U</w:t>
      </w:r>
      <w:r w:rsidR="0040601F" w:rsidRPr="00FC109D">
        <w:rPr>
          <w:rFonts w:ascii="Times New Roman" w:hAnsi="Times New Roman" w:cs="Times New Roman"/>
          <w:lang w:val="ro-MD"/>
        </w:rPr>
        <w:t>nitatea</w:t>
      </w:r>
      <w:r w:rsidR="00154BB0" w:rsidRPr="00FC109D">
        <w:rPr>
          <w:rFonts w:ascii="Times New Roman" w:hAnsi="Times New Roman" w:cs="Times New Roman"/>
          <w:lang w:val="ro-MD"/>
        </w:rPr>
        <w:t xml:space="preserve"> va iniția procedura de achiziție</w:t>
      </w:r>
      <w:r w:rsidRPr="00FC109D">
        <w:rPr>
          <w:rFonts w:ascii="Times New Roman" w:hAnsi="Times New Roman" w:cs="Times New Roman"/>
          <w:lang w:val="ro-MD"/>
        </w:rPr>
        <w:t>.</w:t>
      </w:r>
    </w:p>
    <w:p w14:paraId="53146741" w14:textId="322EAD3F" w:rsidR="00AB7FAC" w:rsidRPr="00FC109D" w:rsidRDefault="00154BB0" w:rsidP="002C7C89">
      <w:pPr>
        <w:jc w:val="both"/>
        <w:rPr>
          <w:rFonts w:ascii="Times New Roman" w:hAnsi="Times New Roman" w:cs="Times New Roman"/>
          <w:lang w:val="ro-MD"/>
        </w:rPr>
      </w:pPr>
      <w:r w:rsidRPr="00FC109D">
        <w:rPr>
          <w:rFonts w:ascii="Times New Roman" w:hAnsi="Times New Roman" w:cs="Times New Roman"/>
          <w:b/>
          <w:lang w:val="ro-MD"/>
        </w:rPr>
        <w:lastRenderedPageBreak/>
        <w:t>Echipamentul pentru ODIMM și MIEPO.</w:t>
      </w:r>
      <w:r w:rsidRPr="00FC109D">
        <w:rPr>
          <w:rFonts w:ascii="Times New Roman" w:hAnsi="Times New Roman" w:cs="Times New Roman"/>
          <w:lang w:val="ro-MD"/>
        </w:rPr>
        <w:t xml:space="preserve"> Ambele contracte pentru livrarea echipamentelor IT pentru aceste organizații au fost finalizate. Echipamentul solicitat în baza contractului cu MIEPO a fost livrat în luna mai, în timp ce livrarea bunurilor pentru ODIMM a fost finalizată în septembrie.</w:t>
      </w:r>
    </w:p>
    <w:p w14:paraId="50CA1CAD" w14:textId="368B3999" w:rsidR="00154BB0" w:rsidRPr="00FC109D" w:rsidRDefault="00154BB0" w:rsidP="002C7C89">
      <w:pPr>
        <w:jc w:val="both"/>
        <w:rPr>
          <w:rFonts w:ascii="Times New Roman" w:hAnsi="Times New Roman" w:cs="Times New Roman"/>
          <w:lang w:val="ro-MD"/>
        </w:rPr>
      </w:pPr>
      <w:r w:rsidRPr="00FC109D">
        <w:rPr>
          <w:rFonts w:ascii="Times New Roman" w:hAnsi="Times New Roman" w:cs="Times New Roman"/>
          <w:b/>
          <w:lang w:val="ro-MD"/>
        </w:rPr>
        <w:t>Personalul MIEPO.</w:t>
      </w:r>
      <w:r w:rsidRPr="00FC109D">
        <w:rPr>
          <w:rFonts w:ascii="Times New Roman" w:hAnsi="Times New Roman" w:cs="Times New Roman"/>
          <w:lang w:val="ro-MD"/>
        </w:rPr>
        <w:t xml:space="preserve"> Cea mai mare </w:t>
      </w:r>
      <w:r w:rsidR="00CC19B7" w:rsidRPr="00FC109D">
        <w:rPr>
          <w:rFonts w:ascii="Times New Roman" w:hAnsi="Times New Roman" w:cs="Times New Roman"/>
          <w:lang w:val="ro-MD"/>
        </w:rPr>
        <w:t xml:space="preserve">problemă </w:t>
      </w:r>
      <w:r w:rsidRPr="00FC109D">
        <w:rPr>
          <w:rFonts w:ascii="Times New Roman" w:hAnsi="Times New Roman" w:cs="Times New Roman"/>
          <w:lang w:val="ro-MD"/>
        </w:rPr>
        <w:t xml:space="preserve">pentru </w:t>
      </w:r>
      <w:r w:rsidR="00CC19B7" w:rsidRPr="00FC109D">
        <w:rPr>
          <w:rFonts w:ascii="Times New Roman" w:hAnsi="Times New Roman" w:cs="Times New Roman"/>
          <w:lang w:val="ro-MD"/>
        </w:rPr>
        <w:t xml:space="preserve">activitatea </w:t>
      </w:r>
      <w:r w:rsidRPr="00FC109D">
        <w:rPr>
          <w:rFonts w:ascii="Times New Roman" w:hAnsi="Times New Roman" w:cs="Times New Roman"/>
          <w:lang w:val="ro-MD"/>
        </w:rPr>
        <w:t>MIEPO constă în numărul</w:t>
      </w:r>
      <w:r w:rsidR="005E6A42" w:rsidRPr="00FC109D">
        <w:rPr>
          <w:rFonts w:ascii="Times New Roman" w:hAnsi="Times New Roman" w:cs="Times New Roman"/>
          <w:lang w:val="ro-MD"/>
        </w:rPr>
        <w:t xml:space="preserve"> </w:t>
      </w:r>
      <w:r w:rsidRPr="00FC109D">
        <w:rPr>
          <w:rFonts w:ascii="Times New Roman" w:hAnsi="Times New Roman" w:cs="Times New Roman"/>
          <w:lang w:val="ro-MD"/>
        </w:rPr>
        <w:t>de personal, care este mult mai mic decât cel necesar pentru o activitate normală. Din echipa anterioară</w:t>
      </w:r>
      <w:r w:rsidR="00AA4AE3" w:rsidRPr="00FC109D">
        <w:rPr>
          <w:rFonts w:ascii="Times New Roman" w:hAnsi="Times New Roman" w:cs="Times New Roman"/>
          <w:lang w:val="ro-MD"/>
        </w:rPr>
        <w:t xml:space="preserve"> au rămas</w:t>
      </w:r>
      <w:r w:rsidRPr="00FC109D">
        <w:rPr>
          <w:rFonts w:ascii="Times New Roman" w:hAnsi="Times New Roman" w:cs="Times New Roman"/>
          <w:lang w:val="ro-MD"/>
        </w:rPr>
        <w:t xml:space="preserve"> doar trei persoane și MIEPO are posibilități limitate de a angaja personal înalt calificat. </w:t>
      </w:r>
      <w:r w:rsidR="005E51DB" w:rsidRPr="00FC109D">
        <w:rPr>
          <w:rFonts w:ascii="Times New Roman" w:hAnsi="Times New Roman" w:cs="Times New Roman"/>
          <w:lang w:val="ro-MD"/>
        </w:rPr>
        <w:t>PAC</w:t>
      </w:r>
      <w:r w:rsidRPr="00FC109D">
        <w:rPr>
          <w:rFonts w:ascii="Times New Roman" w:hAnsi="Times New Roman" w:cs="Times New Roman"/>
          <w:lang w:val="ro-MD"/>
        </w:rPr>
        <w:t xml:space="preserve"> continuă finanțarea unui grup de experți care asistă MIEPO</w:t>
      </w:r>
      <w:r w:rsidR="005E51DB" w:rsidRPr="00FC109D">
        <w:rPr>
          <w:rFonts w:ascii="Times New Roman" w:hAnsi="Times New Roman" w:cs="Times New Roman"/>
          <w:lang w:val="ro-MD"/>
        </w:rPr>
        <w:t xml:space="preserve"> în implementarea</w:t>
      </w:r>
      <w:r w:rsidRPr="00FC109D">
        <w:rPr>
          <w:rFonts w:ascii="Times New Roman" w:hAnsi="Times New Roman" w:cs="Times New Roman"/>
          <w:lang w:val="ro-MD"/>
        </w:rPr>
        <w:t xml:space="preserve"> strategiei instituționale, ș</w:t>
      </w:r>
      <w:r w:rsidR="005E51DB" w:rsidRPr="00FC109D">
        <w:rPr>
          <w:rFonts w:ascii="Times New Roman" w:hAnsi="Times New Roman" w:cs="Times New Roman"/>
          <w:lang w:val="ro-MD"/>
        </w:rPr>
        <w:t>i, după cum</w:t>
      </w:r>
      <w:r w:rsidRPr="00FC109D">
        <w:rPr>
          <w:rFonts w:ascii="Times New Roman" w:hAnsi="Times New Roman" w:cs="Times New Roman"/>
          <w:lang w:val="ro-MD"/>
        </w:rPr>
        <w:t xml:space="preserve"> decurg</w:t>
      </w:r>
      <w:r w:rsidR="005E51DB" w:rsidRPr="00FC109D">
        <w:rPr>
          <w:rFonts w:ascii="Times New Roman" w:hAnsi="Times New Roman" w:cs="Times New Roman"/>
          <w:lang w:val="ro-MD"/>
        </w:rPr>
        <w:t>e</w:t>
      </w:r>
      <w:r w:rsidRPr="00FC109D">
        <w:rPr>
          <w:rFonts w:ascii="Times New Roman" w:hAnsi="Times New Roman" w:cs="Times New Roman"/>
          <w:lang w:val="ro-MD"/>
        </w:rPr>
        <w:t xml:space="preserve"> din acest document, un plan de acțiuni în sectoarele prioritare.</w:t>
      </w:r>
    </w:p>
    <w:p w14:paraId="33FB8EE9" w14:textId="0BFD832E" w:rsidR="005E51DB" w:rsidRPr="00FC109D" w:rsidRDefault="005E51DB" w:rsidP="002C7C89">
      <w:pPr>
        <w:jc w:val="both"/>
        <w:rPr>
          <w:rFonts w:ascii="Times New Roman" w:hAnsi="Times New Roman" w:cs="Times New Roman"/>
          <w:lang w:val="ro-MD"/>
        </w:rPr>
      </w:pPr>
      <w:r w:rsidRPr="00FC109D">
        <w:rPr>
          <w:rFonts w:ascii="Times New Roman" w:hAnsi="Times New Roman" w:cs="Times New Roman"/>
          <w:b/>
          <w:lang w:val="ro-MD"/>
        </w:rPr>
        <w:t xml:space="preserve">Componenta </w:t>
      </w:r>
      <w:r w:rsidR="00EC76DC" w:rsidRPr="00FC109D">
        <w:rPr>
          <w:rFonts w:ascii="Times New Roman" w:hAnsi="Times New Roman" w:cs="Times New Roman"/>
          <w:b/>
          <w:lang w:val="ro-MD"/>
        </w:rPr>
        <w:t>Granturi de Co-</w:t>
      </w:r>
      <w:proofErr w:type="spellStart"/>
      <w:r w:rsidR="00EC76DC" w:rsidRPr="00FC109D">
        <w:rPr>
          <w:rFonts w:ascii="Times New Roman" w:hAnsi="Times New Roman" w:cs="Times New Roman"/>
          <w:b/>
          <w:lang w:val="ro-MD"/>
        </w:rPr>
        <w:t>finantare</w:t>
      </w:r>
      <w:proofErr w:type="spellEnd"/>
      <w:r w:rsidR="00EC76DC" w:rsidRPr="00FC109D">
        <w:rPr>
          <w:rFonts w:ascii="Times New Roman" w:hAnsi="Times New Roman" w:cs="Times New Roman"/>
          <w:b/>
          <w:lang w:val="ro-MD"/>
        </w:rPr>
        <w:t xml:space="preserve"> (</w:t>
      </w:r>
      <w:r w:rsidRPr="00FC109D">
        <w:rPr>
          <w:rFonts w:ascii="Times New Roman" w:hAnsi="Times New Roman" w:cs="Times New Roman"/>
          <w:b/>
          <w:lang w:val="ro-MD"/>
        </w:rPr>
        <w:t>MGF</w:t>
      </w:r>
      <w:r w:rsidR="00EC76DC" w:rsidRPr="00FC109D">
        <w:rPr>
          <w:rFonts w:ascii="Times New Roman" w:hAnsi="Times New Roman" w:cs="Times New Roman"/>
          <w:b/>
          <w:lang w:val="ro-MD"/>
        </w:rPr>
        <w:t>)</w:t>
      </w:r>
      <w:r w:rsidRPr="00FC109D">
        <w:rPr>
          <w:rFonts w:ascii="Times New Roman" w:hAnsi="Times New Roman" w:cs="Times New Roman"/>
          <w:b/>
          <w:lang w:val="ro-MD"/>
        </w:rPr>
        <w:t xml:space="preserve"> se desfășoară </w:t>
      </w:r>
      <w:r w:rsidR="00EC76DC" w:rsidRPr="00FC109D">
        <w:rPr>
          <w:rFonts w:ascii="Times New Roman" w:hAnsi="Times New Roman" w:cs="Times New Roman"/>
          <w:b/>
          <w:lang w:val="ro-MD"/>
        </w:rPr>
        <w:t>conform planului</w:t>
      </w:r>
      <w:r w:rsidRPr="00FC109D">
        <w:rPr>
          <w:rFonts w:ascii="Times New Roman" w:hAnsi="Times New Roman" w:cs="Times New Roman"/>
          <w:b/>
          <w:lang w:val="ro-MD"/>
        </w:rPr>
        <w:t xml:space="preserve">. </w:t>
      </w:r>
      <w:r w:rsidR="00843F08" w:rsidRPr="00FC109D">
        <w:rPr>
          <w:rFonts w:ascii="Times New Roman" w:hAnsi="Times New Roman" w:cs="Times New Roman"/>
          <w:lang w:val="ro-MD"/>
        </w:rPr>
        <w:t>Din</w:t>
      </w:r>
      <w:r w:rsidRPr="00FC109D">
        <w:rPr>
          <w:rFonts w:ascii="Times New Roman" w:hAnsi="Times New Roman" w:cs="Times New Roman"/>
          <w:lang w:val="ro-MD"/>
        </w:rPr>
        <w:t xml:space="preserve"> momentul lansării componentei MGF, au fost înregistrate </w:t>
      </w:r>
      <w:r w:rsidR="00AA4AE3" w:rsidRPr="00FC109D">
        <w:rPr>
          <w:rFonts w:ascii="Times New Roman" w:hAnsi="Times New Roman" w:cs="Times New Roman"/>
          <w:lang w:val="ro-MD"/>
        </w:rPr>
        <w:t>55 de solicitări de grant</w:t>
      </w:r>
      <w:r w:rsidR="00843F08" w:rsidRPr="00FC109D">
        <w:rPr>
          <w:rFonts w:ascii="Times New Roman" w:hAnsi="Times New Roman" w:cs="Times New Roman"/>
          <w:lang w:val="ro-MD"/>
        </w:rPr>
        <w:t>, dintre care 43 de solicitări au fost aprobate, 6 au fost refuzate, iar altele 6 sunt în examinare. În același timp, 25 de proiecte sunt la etapa de pre-aplicare.</w:t>
      </w:r>
    </w:p>
    <w:p w14:paraId="54A64E6B" w14:textId="662599C8" w:rsidR="00211E24" w:rsidRPr="00FC109D" w:rsidRDefault="001A6FD2" w:rsidP="002C7C89">
      <w:pPr>
        <w:jc w:val="both"/>
        <w:rPr>
          <w:rFonts w:ascii="Times New Roman" w:hAnsi="Times New Roman" w:cs="Times New Roman"/>
          <w:lang w:val="ro-MD"/>
        </w:rPr>
      </w:pPr>
      <w:r w:rsidRPr="00FC109D">
        <w:rPr>
          <w:rFonts w:ascii="Times New Roman" w:hAnsi="Times New Roman" w:cs="Times New Roman"/>
          <w:lang w:val="ro-MD"/>
        </w:rPr>
        <w:t xml:space="preserve">Valoarea totală a solicitărilor aprobate spre finanțare în cadrul componentei MGF este de 7,2 milioane MDL (aprox. 0,37 </w:t>
      </w:r>
      <w:proofErr w:type="spellStart"/>
      <w:r w:rsidRPr="00FC109D">
        <w:rPr>
          <w:rFonts w:ascii="Times New Roman" w:hAnsi="Times New Roman" w:cs="Times New Roman"/>
          <w:lang w:val="ro-MD"/>
        </w:rPr>
        <w:t>m</w:t>
      </w:r>
      <w:r w:rsidR="00EC76DC" w:rsidRPr="00FC109D">
        <w:rPr>
          <w:rFonts w:ascii="Times New Roman" w:hAnsi="Times New Roman" w:cs="Times New Roman"/>
          <w:lang w:val="ro-MD"/>
        </w:rPr>
        <w:t>ln</w:t>
      </w:r>
      <w:proofErr w:type="spellEnd"/>
      <w:r w:rsidRPr="00FC109D">
        <w:rPr>
          <w:rFonts w:ascii="Times New Roman" w:hAnsi="Times New Roman" w:cs="Times New Roman"/>
          <w:lang w:val="ro-MD"/>
        </w:rPr>
        <w:t xml:space="preserve"> USD). Valoarea medie a grantului per beneficiar este de 8,4 mii USD. Majoritatea </w:t>
      </w:r>
      <w:proofErr w:type="spellStart"/>
      <w:r w:rsidRPr="00FC109D">
        <w:rPr>
          <w:rFonts w:ascii="Times New Roman" w:hAnsi="Times New Roman" w:cs="Times New Roman"/>
          <w:lang w:val="ro-MD"/>
        </w:rPr>
        <w:t>aplicanților</w:t>
      </w:r>
      <w:proofErr w:type="spellEnd"/>
      <w:r w:rsidRPr="00FC109D">
        <w:rPr>
          <w:rFonts w:ascii="Times New Roman" w:hAnsi="Times New Roman" w:cs="Times New Roman"/>
          <w:lang w:val="ro-MD"/>
        </w:rPr>
        <w:t xml:space="preserve"> sunt din domeniul industriei alimentare și producerea băuturilor  (28 procente din numărul solicitărilor aprobate), fiind urmați de cei din sectorul agricol (23 procente). Alte patru sectoare</w:t>
      </w:r>
      <w:r w:rsidR="005E6A42" w:rsidRPr="00FC109D">
        <w:rPr>
          <w:rFonts w:ascii="Times New Roman" w:hAnsi="Times New Roman" w:cs="Times New Roman"/>
          <w:lang w:val="ro-MD"/>
        </w:rPr>
        <w:t xml:space="preserve"> –</w:t>
      </w:r>
      <w:r w:rsidRPr="00FC109D">
        <w:rPr>
          <w:rFonts w:ascii="Times New Roman" w:hAnsi="Times New Roman" w:cs="Times New Roman"/>
          <w:lang w:val="ro-MD"/>
        </w:rPr>
        <w:t xml:space="preserve"> textil</w:t>
      </w:r>
      <w:r w:rsidR="00EC76DC" w:rsidRPr="00FC109D">
        <w:rPr>
          <w:rFonts w:ascii="Times New Roman" w:hAnsi="Times New Roman" w:cs="Times New Roman"/>
          <w:lang w:val="ro-MD"/>
        </w:rPr>
        <w:t>e</w:t>
      </w:r>
      <w:r w:rsidRPr="00FC109D">
        <w:rPr>
          <w:rFonts w:ascii="Times New Roman" w:hAnsi="Times New Roman" w:cs="Times New Roman"/>
          <w:lang w:val="ro-MD"/>
        </w:rPr>
        <w:t>, p</w:t>
      </w:r>
      <w:r w:rsidR="009E616B" w:rsidRPr="00FC109D">
        <w:rPr>
          <w:rFonts w:ascii="Times New Roman" w:hAnsi="Times New Roman" w:cs="Times New Roman"/>
          <w:lang w:val="ro-MD"/>
        </w:rPr>
        <w:t>roducerea ambalajului, servicii</w:t>
      </w:r>
      <w:r w:rsidRPr="00FC109D">
        <w:rPr>
          <w:rFonts w:ascii="Times New Roman" w:hAnsi="Times New Roman" w:cs="Times New Roman"/>
          <w:lang w:val="ro-MD"/>
        </w:rPr>
        <w:t xml:space="preserve">, precum și producerea </w:t>
      </w:r>
      <w:r w:rsidR="009E616B" w:rsidRPr="00FC109D">
        <w:rPr>
          <w:rFonts w:ascii="Times New Roman" w:hAnsi="Times New Roman" w:cs="Times New Roman"/>
          <w:lang w:val="ro-MD"/>
        </w:rPr>
        <w:t>articolelor</w:t>
      </w:r>
      <w:r w:rsidRPr="00FC109D">
        <w:rPr>
          <w:rFonts w:ascii="Times New Roman" w:hAnsi="Times New Roman" w:cs="Times New Roman"/>
          <w:lang w:val="ro-MD"/>
        </w:rPr>
        <w:t xml:space="preserve"> elec</w:t>
      </w:r>
      <w:r w:rsidR="00211E24" w:rsidRPr="00FC109D">
        <w:rPr>
          <w:rFonts w:ascii="Times New Roman" w:hAnsi="Times New Roman" w:cs="Times New Roman"/>
          <w:lang w:val="ro-MD"/>
        </w:rPr>
        <w:t>tronice și mecanice – împreună reprezintă</w:t>
      </w:r>
      <w:r w:rsidRPr="00FC109D">
        <w:rPr>
          <w:rFonts w:ascii="Times New Roman" w:hAnsi="Times New Roman" w:cs="Times New Roman"/>
          <w:lang w:val="ro-MD"/>
        </w:rPr>
        <w:t xml:space="preserve"> 38 procente din beneficiari.</w:t>
      </w:r>
    </w:p>
    <w:p w14:paraId="0B1B4D8B" w14:textId="1F8460AA" w:rsidR="00211E24" w:rsidRPr="00FC109D" w:rsidRDefault="00211E24" w:rsidP="002C7C89">
      <w:pPr>
        <w:jc w:val="both"/>
        <w:rPr>
          <w:rFonts w:ascii="Times New Roman" w:hAnsi="Times New Roman" w:cs="Times New Roman"/>
          <w:lang w:val="ro-MD"/>
        </w:rPr>
      </w:pPr>
      <w:r w:rsidRPr="00FC109D">
        <w:rPr>
          <w:rFonts w:ascii="Times New Roman" w:hAnsi="Times New Roman" w:cs="Times New Roman"/>
          <w:lang w:val="ro-MD"/>
        </w:rPr>
        <w:t>Este de menționat că în</w:t>
      </w:r>
      <w:r w:rsidR="009E616B" w:rsidRPr="00FC109D">
        <w:rPr>
          <w:rFonts w:ascii="Times New Roman" w:hAnsi="Times New Roman" w:cs="Times New Roman"/>
          <w:lang w:val="ro-MD"/>
        </w:rPr>
        <w:t>treprinderile din alte sectoare</w:t>
      </w:r>
      <w:r w:rsidRPr="00FC109D">
        <w:rPr>
          <w:rFonts w:ascii="Times New Roman" w:hAnsi="Times New Roman" w:cs="Times New Roman"/>
          <w:lang w:val="ro-MD"/>
        </w:rPr>
        <w:t xml:space="preserve">, de asemenea, sunt interesate în </w:t>
      </w:r>
      <w:r w:rsidR="009E616B" w:rsidRPr="00FC109D">
        <w:rPr>
          <w:rFonts w:ascii="Times New Roman" w:hAnsi="Times New Roman" w:cs="Times New Roman"/>
          <w:lang w:val="ro-MD"/>
        </w:rPr>
        <w:t xml:space="preserve">componenta de </w:t>
      </w:r>
      <w:proofErr w:type="spellStart"/>
      <w:r w:rsidRPr="00FC109D">
        <w:rPr>
          <w:rFonts w:ascii="Times New Roman" w:hAnsi="Times New Roman" w:cs="Times New Roman"/>
          <w:lang w:val="ro-MD"/>
        </w:rPr>
        <w:t>co</w:t>
      </w:r>
      <w:proofErr w:type="spellEnd"/>
      <w:r w:rsidRPr="00FC109D">
        <w:rPr>
          <w:rFonts w:ascii="Times New Roman" w:hAnsi="Times New Roman" w:cs="Times New Roman"/>
          <w:lang w:val="ro-MD"/>
        </w:rPr>
        <w:t>-finanțare prin grant (5%).</w:t>
      </w:r>
    </w:p>
    <w:p w14:paraId="317A8BD6" w14:textId="27C5ACE0" w:rsidR="00211E24" w:rsidRPr="00FC109D" w:rsidRDefault="00211E24" w:rsidP="002C7C89">
      <w:pPr>
        <w:jc w:val="both"/>
        <w:rPr>
          <w:rFonts w:ascii="Times New Roman" w:hAnsi="Times New Roman" w:cs="Times New Roman"/>
          <w:lang w:val="ro-MD"/>
        </w:rPr>
      </w:pPr>
      <w:r w:rsidRPr="00FC109D">
        <w:rPr>
          <w:rFonts w:ascii="Times New Roman" w:hAnsi="Times New Roman" w:cs="Times New Roman"/>
          <w:lang w:val="ro-MD"/>
        </w:rPr>
        <w:t>Majoritatea proiectelor de  îmbunătățire a afacerii (PÎA) sunt localizate în municipiu Chișinău (19 PÎA), urmate de</w:t>
      </w:r>
      <w:r w:rsidR="009E616B" w:rsidRPr="00FC109D">
        <w:rPr>
          <w:rFonts w:ascii="Times New Roman" w:hAnsi="Times New Roman" w:cs="Times New Roman"/>
          <w:lang w:val="ro-MD"/>
        </w:rPr>
        <w:t xml:space="preserve"> beneficiarii din</w:t>
      </w:r>
      <w:r w:rsidRPr="00FC109D">
        <w:rPr>
          <w:rFonts w:ascii="Times New Roman" w:hAnsi="Times New Roman" w:cs="Times New Roman"/>
          <w:lang w:val="ro-MD"/>
        </w:rPr>
        <w:t xml:space="preserve"> 6 raioane din regiunea Centru (14 PÎA), 7 beneficiari din regiunea Nord și 3 de la Sudul țării</w:t>
      </w:r>
      <w:r w:rsidR="009E616B" w:rsidRPr="00FC109D">
        <w:rPr>
          <w:rFonts w:ascii="Times New Roman" w:hAnsi="Times New Roman" w:cs="Times New Roman"/>
          <w:lang w:val="ro-MD"/>
        </w:rPr>
        <w:t xml:space="preserve">. Din punct de vedere al aspectelor </w:t>
      </w:r>
      <w:proofErr w:type="spellStart"/>
      <w:r w:rsidR="009E616B" w:rsidRPr="00FC109D">
        <w:rPr>
          <w:rFonts w:ascii="Times New Roman" w:hAnsi="Times New Roman" w:cs="Times New Roman"/>
          <w:lang w:val="ro-MD"/>
        </w:rPr>
        <w:t>gender</w:t>
      </w:r>
      <w:proofErr w:type="spellEnd"/>
      <w:r w:rsidRPr="00FC109D">
        <w:rPr>
          <w:rFonts w:ascii="Times New Roman" w:hAnsi="Times New Roman" w:cs="Times New Roman"/>
          <w:lang w:val="ro-MD"/>
        </w:rPr>
        <w:t>, din 43 de solicitări aprobate, 19 întreprinderi  (44%) sunt fondate / administrate de femei.</w:t>
      </w:r>
    </w:p>
    <w:p w14:paraId="45536F60" w14:textId="35F1B493" w:rsidR="00211E24" w:rsidRPr="00FC109D" w:rsidRDefault="00211E24" w:rsidP="002C7C89">
      <w:pPr>
        <w:jc w:val="both"/>
        <w:rPr>
          <w:rFonts w:ascii="Times New Roman" w:hAnsi="Times New Roman" w:cs="Times New Roman"/>
          <w:lang w:val="ro-MD"/>
        </w:rPr>
      </w:pPr>
      <w:r w:rsidRPr="00FC109D">
        <w:rPr>
          <w:rFonts w:ascii="Times New Roman" w:hAnsi="Times New Roman" w:cs="Times New Roman"/>
          <w:lang w:val="ro-MD"/>
        </w:rPr>
        <w:t>UIPAC continuă să desfășoare campania de diseminare în conformitate cu strategia de comunicare aprobată, astfel informația a fost distribuită în cadrul sesiunilor de informare cu întreprinderi, asociații, autoritățile locale, prestatorii de servicii în afaceri și alte organizații. De asemenea, o campanie informațională se derulează în mass media.  Astfel, 10 comunicate de presă și articole au fost publicate, 7 video reportaje și 1 video publicitar au fost difuzate. Pe</w:t>
      </w:r>
      <w:r w:rsidR="00D50F18" w:rsidRPr="00FC109D">
        <w:rPr>
          <w:rFonts w:ascii="Times New Roman" w:hAnsi="Times New Roman" w:cs="Times New Roman"/>
          <w:lang w:val="ro-MD"/>
        </w:rPr>
        <w:t xml:space="preserve"> </w:t>
      </w:r>
      <w:r w:rsidRPr="00FC109D">
        <w:rPr>
          <w:rFonts w:ascii="Times New Roman" w:hAnsi="Times New Roman" w:cs="Times New Roman"/>
          <w:lang w:val="ro-MD"/>
        </w:rPr>
        <w:t>parcursul ultimilor 2 luni</w:t>
      </w:r>
      <w:r w:rsidR="009E616B" w:rsidRPr="00FC109D">
        <w:rPr>
          <w:rFonts w:ascii="Times New Roman" w:hAnsi="Times New Roman" w:cs="Times New Roman"/>
          <w:lang w:val="ro-MD"/>
        </w:rPr>
        <w:t>,</w:t>
      </w:r>
      <w:r w:rsidRPr="00FC109D">
        <w:rPr>
          <w:rFonts w:ascii="Times New Roman" w:hAnsi="Times New Roman" w:cs="Times New Roman"/>
          <w:lang w:val="ro-MD"/>
        </w:rPr>
        <w:t xml:space="preserve"> UIPAC a organizat 3 evenimente promoționale: 1 seminar informativ și 2 </w:t>
      </w:r>
      <w:proofErr w:type="spellStart"/>
      <w:r w:rsidR="003B5A1E" w:rsidRPr="00FC109D">
        <w:rPr>
          <w:rFonts w:ascii="Times New Roman" w:hAnsi="Times New Roman" w:cs="Times New Roman"/>
          <w:lang w:val="ro-MD"/>
        </w:rPr>
        <w:t>Speed</w:t>
      </w:r>
      <w:proofErr w:type="spellEnd"/>
      <w:r w:rsidR="003B5A1E" w:rsidRPr="00FC109D">
        <w:rPr>
          <w:rFonts w:ascii="Times New Roman" w:hAnsi="Times New Roman" w:cs="Times New Roman"/>
          <w:lang w:val="ro-MD"/>
        </w:rPr>
        <w:t xml:space="preserve"> Business </w:t>
      </w:r>
      <w:proofErr w:type="spellStart"/>
      <w:r w:rsidR="003B5A1E" w:rsidRPr="00FC109D">
        <w:rPr>
          <w:rFonts w:ascii="Times New Roman" w:hAnsi="Times New Roman" w:cs="Times New Roman"/>
          <w:lang w:val="ro-MD"/>
        </w:rPr>
        <w:t>Meetings</w:t>
      </w:r>
      <w:proofErr w:type="spellEnd"/>
      <w:r w:rsidR="003B5A1E" w:rsidRPr="00FC109D">
        <w:rPr>
          <w:rFonts w:ascii="Times New Roman" w:hAnsi="Times New Roman" w:cs="Times New Roman"/>
          <w:lang w:val="ro-MD"/>
        </w:rPr>
        <w:t>, la care au participat peste 100 de persoane, atât consultanți, cât și IMM-uri.</w:t>
      </w:r>
    </w:p>
    <w:p w14:paraId="24365F7E" w14:textId="69FBBFF0" w:rsidR="00A35BB6" w:rsidRPr="00FC109D" w:rsidRDefault="00A35BB6" w:rsidP="00A35BB6">
      <w:pPr>
        <w:rPr>
          <w:rFonts w:ascii="Times New Roman" w:hAnsi="Times New Roman" w:cs="Times New Roman"/>
          <w:b/>
          <w:u w:val="single"/>
          <w:lang w:val="ro-MD"/>
        </w:rPr>
      </w:pPr>
      <w:r w:rsidRPr="00FC109D">
        <w:rPr>
          <w:rFonts w:ascii="Times New Roman" w:hAnsi="Times New Roman" w:cs="Times New Roman"/>
          <w:b/>
          <w:u w:val="single"/>
          <w:lang w:val="ro-MD"/>
        </w:rPr>
        <w:t>Componenta 3. Acces de Finanțare</w:t>
      </w:r>
    </w:p>
    <w:p w14:paraId="54FA38D8" w14:textId="52F01344" w:rsidR="00A35BB6" w:rsidRPr="00FC109D" w:rsidRDefault="00A35BB6" w:rsidP="002C7C89">
      <w:pPr>
        <w:jc w:val="both"/>
        <w:rPr>
          <w:rFonts w:ascii="Times New Roman" w:hAnsi="Times New Roman" w:cs="Times New Roman"/>
          <w:lang w:val="ro-MD"/>
        </w:rPr>
      </w:pPr>
      <w:r w:rsidRPr="00FC109D">
        <w:rPr>
          <w:rFonts w:ascii="Times New Roman" w:hAnsi="Times New Roman" w:cs="Times New Roman"/>
          <w:b/>
          <w:lang w:val="ro-MD"/>
        </w:rPr>
        <w:t xml:space="preserve">Programul Soft pentru </w:t>
      </w:r>
      <w:r w:rsidR="00724DAD" w:rsidRPr="00FC109D">
        <w:rPr>
          <w:rFonts w:ascii="Times New Roman" w:hAnsi="Times New Roman" w:cs="Times New Roman"/>
          <w:b/>
          <w:lang w:val="ro-MD"/>
        </w:rPr>
        <w:t>Fondul d</w:t>
      </w:r>
      <w:r w:rsidR="00E01B50" w:rsidRPr="00FC109D">
        <w:rPr>
          <w:rFonts w:ascii="Times New Roman" w:hAnsi="Times New Roman" w:cs="Times New Roman"/>
          <w:b/>
          <w:lang w:val="ro-MD"/>
        </w:rPr>
        <w:t xml:space="preserve">e Garantare </w:t>
      </w:r>
      <w:r w:rsidR="00724DAD" w:rsidRPr="00FC109D">
        <w:rPr>
          <w:rFonts w:ascii="Times New Roman" w:hAnsi="Times New Roman" w:cs="Times New Roman"/>
          <w:b/>
          <w:lang w:val="ro-MD"/>
        </w:rPr>
        <w:t>a</w:t>
      </w:r>
      <w:r w:rsidR="00E01B50" w:rsidRPr="00FC109D">
        <w:rPr>
          <w:rFonts w:ascii="Times New Roman" w:hAnsi="Times New Roman" w:cs="Times New Roman"/>
          <w:b/>
          <w:lang w:val="ro-MD"/>
        </w:rPr>
        <w:t xml:space="preserve"> Creditelor (</w:t>
      </w:r>
      <w:r w:rsidRPr="00FC109D">
        <w:rPr>
          <w:rFonts w:ascii="Times New Roman" w:hAnsi="Times New Roman" w:cs="Times New Roman"/>
          <w:b/>
          <w:lang w:val="ro-MD"/>
        </w:rPr>
        <w:t>F</w:t>
      </w:r>
      <w:r w:rsidR="00E01B50" w:rsidRPr="00FC109D">
        <w:rPr>
          <w:rFonts w:ascii="Times New Roman" w:hAnsi="Times New Roman" w:cs="Times New Roman"/>
          <w:b/>
          <w:lang w:val="ro-MD"/>
        </w:rPr>
        <w:t>GC</w:t>
      </w:r>
      <w:r w:rsidRPr="00FC109D">
        <w:rPr>
          <w:rFonts w:ascii="Times New Roman" w:hAnsi="Times New Roman" w:cs="Times New Roman"/>
          <w:b/>
          <w:lang w:val="ro-MD"/>
        </w:rPr>
        <w:t xml:space="preserve">) </w:t>
      </w:r>
      <w:r w:rsidR="00E01B50" w:rsidRPr="00FC109D">
        <w:rPr>
          <w:rFonts w:ascii="Times New Roman" w:hAnsi="Times New Roman" w:cs="Times New Roman"/>
          <w:b/>
          <w:lang w:val="ro-MD"/>
        </w:rPr>
        <w:t>al</w:t>
      </w:r>
      <w:r w:rsidRPr="00FC109D">
        <w:rPr>
          <w:rFonts w:ascii="Times New Roman" w:hAnsi="Times New Roman" w:cs="Times New Roman"/>
          <w:b/>
          <w:lang w:val="ro-MD"/>
        </w:rPr>
        <w:t xml:space="preserve"> ODIMM.</w:t>
      </w:r>
      <w:r w:rsidRPr="00FC109D">
        <w:rPr>
          <w:rFonts w:ascii="Times New Roman" w:hAnsi="Times New Roman" w:cs="Times New Roman"/>
          <w:lang w:val="ro-MD"/>
        </w:rPr>
        <w:t xml:space="preserve"> </w:t>
      </w:r>
      <w:r w:rsidR="00E01B50" w:rsidRPr="00FC109D">
        <w:rPr>
          <w:rFonts w:ascii="Times New Roman" w:hAnsi="Times New Roman" w:cs="Times New Roman"/>
          <w:lang w:val="ro-MD"/>
        </w:rPr>
        <w:t xml:space="preserve">FGC reprezintă </w:t>
      </w:r>
      <w:r w:rsidRPr="00FC109D">
        <w:rPr>
          <w:rFonts w:ascii="Times New Roman" w:hAnsi="Times New Roman" w:cs="Times New Roman"/>
          <w:lang w:val="ro-MD"/>
        </w:rPr>
        <w:t xml:space="preserve">un instrument </w:t>
      </w:r>
      <w:r w:rsidR="00FC63C4" w:rsidRPr="00FC109D">
        <w:rPr>
          <w:rFonts w:ascii="Times New Roman" w:hAnsi="Times New Roman" w:cs="Times New Roman"/>
          <w:lang w:val="ro-MD"/>
        </w:rPr>
        <w:t>extrem de</w:t>
      </w:r>
      <w:r w:rsidR="00E01B50" w:rsidRPr="00FC109D">
        <w:rPr>
          <w:rFonts w:ascii="Times New Roman" w:hAnsi="Times New Roman" w:cs="Times New Roman"/>
          <w:lang w:val="ro-MD"/>
        </w:rPr>
        <w:t xml:space="preserve"> important </w:t>
      </w:r>
      <w:r w:rsidRPr="00FC109D">
        <w:rPr>
          <w:rFonts w:ascii="Times New Roman" w:hAnsi="Times New Roman" w:cs="Times New Roman"/>
          <w:lang w:val="ro-MD"/>
        </w:rPr>
        <w:t xml:space="preserve">de facilitare a accesului la finanțare pentru IMM-uri. </w:t>
      </w:r>
      <w:r w:rsidR="00D50F18" w:rsidRPr="00FC109D">
        <w:rPr>
          <w:rFonts w:ascii="Times New Roman" w:hAnsi="Times New Roman" w:cs="Times New Roman"/>
          <w:lang w:val="ro-MD"/>
        </w:rPr>
        <w:t xml:space="preserve">În anul curent, </w:t>
      </w:r>
      <w:r w:rsidRPr="00FC109D">
        <w:rPr>
          <w:rFonts w:ascii="Times New Roman" w:hAnsi="Times New Roman" w:cs="Times New Roman"/>
          <w:lang w:val="ro-MD"/>
        </w:rPr>
        <w:t xml:space="preserve">Guvernul a </w:t>
      </w:r>
      <w:r w:rsidR="009E616B" w:rsidRPr="00FC109D">
        <w:rPr>
          <w:rFonts w:ascii="Times New Roman" w:hAnsi="Times New Roman" w:cs="Times New Roman"/>
          <w:lang w:val="ro-MD"/>
        </w:rPr>
        <w:t>suplinit</w:t>
      </w:r>
      <w:r w:rsidRPr="00FC109D">
        <w:rPr>
          <w:rFonts w:ascii="Times New Roman" w:hAnsi="Times New Roman" w:cs="Times New Roman"/>
          <w:lang w:val="ro-MD"/>
        </w:rPr>
        <w:t xml:space="preserve"> </w:t>
      </w:r>
      <w:r w:rsidR="00FC63C4" w:rsidRPr="00FC109D">
        <w:rPr>
          <w:rFonts w:ascii="Times New Roman" w:hAnsi="Times New Roman" w:cs="Times New Roman"/>
          <w:lang w:val="ro-MD"/>
        </w:rPr>
        <w:t xml:space="preserve">Fondul </w:t>
      </w:r>
      <w:r w:rsidRPr="00FC109D">
        <w:rPr>
          <w:rFonts w:ascii="Times New Roman" w:hAnsi="Times New Roman" w:cs="Times New Roman"/>
          <w:lang w:val="ro-MD"/>
        </w:rPr>
        <w:t xml:space="preserve">cu 10 </w:t>
      </w:r>
      <w:proofErr w:type="spellStart"/>
      <w:r w:rsidRPr="00FC109D">
        <w:rPr>
          <w:rFonts w:ascii="Times New Roman" w:hAnsi="Times New Roman" w:cs="Times New Roman"/>
          <w:lang w:val="ro-MD"/>
        </w:rPr>
        <w:t>m</w:t>
      </w:r>
      <w:r w:rsidR="0089048F" w:rsidRPr="00FC109D">
        <w:rPr>
          <w:rFonts w:ascii="Times New Roman" w:hAnsi="Times New Roman" w:cs="Times New Roman"/>
          <w:lang w:val="ro-MD"/>
        </w:rPr>
        <w:t>ln</w:t>
      </w:r>
      <w:proofErr w:type="spellEnd"/>
      <w:r w:rsidR="0089048F" w:rsidRPr="00FC109D">
        <w:rPr>
          <w:rFonts w:ascii="Times New Roman" w:hAnsi="Times New Roman" w:cs="Times New Roman"/>
          <w:lang w:val="ro-MD"/>
        </w:rPr>
        <w:t>.</w:t>
      </w:r>
      <w:r w:rsidRPr="00FC109D">
        <w:rPr>
          <w:rFonts w:ascii="Times New Roman" w:hAnsi="Times New Roman" w:cs="Times New Roman"/>
          <w:lang w:val="ro-MD"/>
        </w:rPr>
        <w:t xml:space="preserve"> </w:t>
      </w:r>
      <w:r w:rsidR="00D50F18" w:rsidRPr="00FC109D">
        <w:rPr>
          <w:rFonts w:ascii="Times New Roman" w:hAnsi="Times New Roman" w:cs="Times New Roman"/>
          <w:lang w:val="ro-MD"/>
        </w:rPr>
        <w:t>l</w:t>
      </w:r>
      <w:r w:rsidR="0089048F" w:rsidRPr="00FC109D">
        <w:rPr>
          <w:rFonts w:ascii="Times New Roman" w:hAnsi="Times New Roman" w:cs="Times New Roman"/>
          <w:lang w:val="ro-MD"/>
        </w:rPr>
        <w:t>ei</w:t>
      </w:r>
      <w:r w:rsidR="00FC63C4" w:rsidRPr="00FC109D">
        <w:rPr>
          <w:rFonts w:ascii="Times New Roman" w:hAnsi="Times New Roman" w:cs="Times New Roman"/>
          <w:lang w:val="ro-MD"/>
        </w:rPr>
        <w:t>,</w:t>
      </w:r>
      <w:r w:rsidR="002C7C89" w:rsidRPr="00FC109D">
        <w:rPr>
          <w:rFonts w:ascii="Times New Roman" w:hAnsi="Times New Roman" w:cs="Times New Roman"/>
          <w:lang w:val="ro-MD"/>
        </w:rPr>
        <w:t xml:space="preserve"> </w:t>
      </w:r>
      <w:r w:rsidR="00E01B50" w:rsidRPr="00FC109D">
        <w:rPr>
          <w:rFonts w:ascii="Times New Roman" w:hAnsi="Times New Roman" w:cs="Times New Roman"/>
          <w:lang w:val="ro-MD"/>
        </w:rPr>
        <w:t xml:space="preserve">alte 5 </w:t>
      </w:r>
      <w:proofErr w:type="spellStart"/>
      <w:r w:rsidR="0089048F" w:rsidRPr="00FC109D">
        <w:rPr>
          <w:rFonts w:ascii="Times New Roman" w:hAnsi="Times New Roman" w:cs="Times New Roman"/>
          <w:lang w:val="ro-MD"/>
        </w:rPr>
        <w:t>mln</w:t>
      </w:r>
      <w:proofErr w:type="spellEnd"/>
      <w:r w:rsidR="00D50F18" w:rsidRPr="00FC109D">
        <w:rPr>
          <w:rFonts w:ascii="Times New Roman" w:hAnsi="Times New Roman" w:cs="Times New Roman"/>
          <w:lang w:val="ro-MD"/>
        </w:rPr>
        <w:t>.</w:t>
      </w:r>
      <w:r w:rsidR="00E01B50" w:rsidRPr="00FC109D">
        <w:rPr>
          <w:rFonts w:ascii="Times New Roman" w:hAnsi="Times New Roman" w:cs="Times New Roman"/>
          <w:lang w:val="ro-MD"/>
        </w:rPr>
        <w:t xml:space="preserve"> </w:t>
      </w:r>
      <w:r w:rsidR="00D50F18" w:rsidRPr="00FC109D">
        <w:rPr>
          <w:rFonts w:ascii="Times New Roman" w:hAnsi="Times New Roman" w:cs="Times New Roman"/>
          <w:lang w:val="ro-MD"/>
        </w:rPr>
        <w:t>l</w:t>
      </w:r>
      <w:r w:rsidR="0089048F" w:rsidRPr="00FC109D">
        <w:rPr>
          <w:rFonts w:ascii="Times New Roman" w:hAnsi="Times New Roman" w:cs="Times New Roman"/>
          <w:lang w:val="ro-MD"/>
        </w:rPr>
        <w:t>ei</w:t>
      </w:r>
      <w:r w:rsidRPr="00FC109D">
        <w:rPr>
          <w:rFonts w:ascii="Times New Roman" w:hAnsi="Times New Roman" w:cs="Times New Roman"/>
          <w:lang w:val="ro-MD"/>
        </w:rPr>
        <w:t xml:space="preserve"> </w:t>
      </w:r>
      <w:r w:rsidR="0089048F" w:rsidRPr="00FC109D">
        <w:rPr>
          <w:rFonts w:ascii="Times New Roman" w:hAnsi="Times New Roman" w:cs="Times New Roman"/>
          <w:lang w:val="ro-MD"/>
        </w:rPr>
        <w:t xml:space="preserve">vor fi </w:t>
      </w:r>
      <w:r w:rsidR="00E01B50" w:rsidRPr="00FC109D">
        <w:rPr>
          <w:rFonts w:ascii="Times New Roman" w:hAnsi="Times New Roman" w:cs="Times New Roman"/>
          <w:lang w:val="ro-MD"/>
        </w:rPr>
        <w:t>aloca</w:t>
      </w:r>
      <w:r w:rsidR="00D50F18" w:rsidRPr="00FC109D">
        <w:rPr>
          <w:rFonts w:ascii="Times New Roman" w:hAnsi="Times New Roman" w:cs="Times New Roman"/>
          <w:lang w:val="ro-MD"/>
        </w:rPr>
        <w:t xml:space="preserve">te </w:t>
      </w:r>
      <w:r w:rsidRPr="00FC109D">
        <w:rPr>
          <w:rFonts w:ascii="Times New Roman" w:hAnsi="Times New Roman" w:cs="Times New Roman"/>
          <w:lang w:val="ro-MD"/>
        </w:rPr>
        <w:t>până la sfârșitul anului</w:t>
      </w:r>
      <w:r w:rsidR="0089048F" w:rsidRPr="00FC109D">
        <w:rPr>
          <w:rFonts w:ascii="Times New Roman" w:hAnsi="Times New Roman" w:cs="Times New Roman"/>
          <w:lang w:val="ro-MD"/>
        </w:rPr>
        <w:t xml:space="preserve"> curent</w:t>
      </w:r>
      <w:r w:rsidRPr="00FC109D">
        <w:rPr>
          <w:rFonts w:ascii="Times New Roman" w:hAnsi="Times New Roman" w:cs="Times New Roman"/>
          <w:lang w:val="ro-MD"/>
        </w:rPr>
        <w:t>.</w:t>
      </w:r>
      <w:r w:rsidR="00E01B50" w:rsidRPr="00FC109D">
        <w:rPr>
          <w:rFonts w:ascii="Times New Roman" w:hAnsi="Times New Roman" w:cs="Times New Roman"/>
          <w:lang w:val="ro-MD"/>
        </w:rPr>
        <w:t xml:space="preserve"> ODIMM </w:t>
      </w:r>
      <w:r w:rsidR="002C7C89" w:rsidRPr="00FC109D">
        <w:rPr>
          <w:rFonts w:ascii="Times New Roman" w:hAnsi="Times New Roman" w:cs="Times New Roman"/>
          <w:lang w:val="ro-MD"/>
        </w:rPr>
        <w:t xml:space="preserve">continuă să </w:t>
      </w:r>
      <w:r w:rsidR="00E01B50" w:rsidRPr="00FC109D">
        <w:rPr>
          <w:rFonts w:ascii="Times New Roman" w:hAnsi="Times New Roman" w:cs="Times New Roman"/>
          <w:lang w:val="ro-MD"/>
        </w:rPr>
        <w:t>desfășoar</w:t>
      </w:r>
      <w:r w:rsidR="002C7C89" w:rsidRPr="00FC109D">
        <w:rPr>
          <w:rFonts w:ascii="Times New Roman" w:hAnsi="Times New Roman" w:cs="Times New Roman"/>
          <w:lang w:val="ro-MD"/>
        </w:rPr>
        <w:t>e</w:t>
      </w:r>
      <w:r w:rsidR="00E01B50" w:rsidRPr="00FC109D">
        <w:rPr>
          <w:rFonts w:ascii="Times New Roman" w:hAnsi="Times New Roman" w:cs="Times New Roman"/>
          <w:lang w:val="ro-MD"/>
        </w:rPr>
        <w:t xml:space="preserve"> negocieri cu </w:t>
      </w:r>
      <w:r w:rsidR="0089048F" w:rsidRPr="00FC109D">
        <w:rPr>
          <w:rFonts w:ascii="Times New Roman" w:hAnsi="Times New Roman" w:cs="Times New Roman"/>
          <w:lang w:val="ro-MD"/>
        </w:rPr>
        <w:t>băncile comerciale</w:t>
      </w:r>
      <w:r w:rsidR="002C7C89" w:rsidRPr="00FC109D">
        <w:rPr>
          <w:rFonts w:ascii="Times New Roman" w:hAnsi="Times New Roman" w:cs="Times New Roman"/>
          <w:lang w:val="ro-MD"/>
        </w:rPr>
        <w:t>.</w:t>
      </w:r>
      <w:r w:rsidRPr="00FC109D">
        <w:rPr>
          <w:rFonts w:ascii="Times New Roman" w:hAnsi="Times New Roman" w:cs="Times New Roman"/>
          <w:lang w:val="ro-MD"/>
        </w:rPr>
        <w:t xml:space="preserve"> </w:t>
      </w:r>
      <w:r w:rsidR="002C7C89" w:rsidRPr="00FC109D">
        <w:rPr>
          <w:rFonts w:ascii="Times New Roman" w:hAnsi="Times New Roman" w:cs="Times New Roman"/>
          <w:lang w:val="ro-MD"/>
        </w:rPr>
        <w:t>Până în prezent, s-au</w:t>
      </w:r>
      <w:r w:rsidRPr="00FC109D">
        <w:rPr>
          <w:rFonts w:ascii="Times New Roman" w:hAnsi="Times New Roman" w:cs="Times New Roman"/>
          <w:lang w:val="ro-MD"/>
        </w:rPr>
        <w:t xml:space="preserve"> semnat acorduri de </w:t>
      </w:r>
      <w:r w:rsidR="00E01B50" w:rsidRPr="00FC109D">
        <w:rPr>
          <w:rFonts w:ascii="Times New Roman" w:hAnsi="Times New Roman" w:cs="Times New Roman"/>
          <w:lang w:val="ro-MD"/>
        </w:rPr>
        <w:t>colaborare</w:t>
      </w:r>
      <w:r w:rsidRPr="00FC109D">
        <w:rPr>
          <w:rFonts w:ascii="Times New Roman" w:hAnsi="Times New Roman" w:cs="Times New Roman"/>
          <w:lang w:val="ro-MD"/>
        </w:rPr>
        <w:t xml:space="preserve"> cu două bănci comerciale </w:t>
      </w:r>
      <w:proofErr w:type="spellStart"/>
      <w:r w:rsidRPr="00FC109D">
        <w:rPr>
          <w:rFonts w:ascii="Times New Roman" w:hAnsi="Times New Roman" w:cs="Times New Roman"/>
          <w:lang w:val="ro-MD"/>
        </w:rPr>
        <w:t>Comertbank</w:t>
      </w:r>
      <w:proofErr w:type="spellEnd"/>
      <w:r w:rsidRPr="00FC109D">
        <w:rPr>
          <w:rFonts w:ascii="Times New Roman" w:hAnsi="Times New Roman" w:cs="Times New Roman"/>
          <w:lang w:val="ro-MD"/>
        </w:rPr>
        <w:t xml:space="preserve"> SA și </w:t>
      </w:r>
      <w:proofErr w:type="spellStart"/>
      <w:r w:rsidRPr="00FC109D">
        <w:rPr>
          <w:rFonts w:ascii="Times New Roman" w:hAnsi="Times New Roman" w:cs="Times New Roman"/>
          <w:lang w:val="ro-MD"/>
        </w:rPr>
        <w:t>Victoriabank</w:t>
      </w:r>
      <w:proofErr w:type="spellEnd"/>
      <w:r w:rsidRPr="00FC109D">
        <w:rPr>
          <w:rFonts w:ascii="Times New Roman" w:hAnsi="Times New Roman" w:cs="Times New Roman"/>
          <w:lang w:val="ro-MD"/>
        </w:rPr>
        <w:t xml:space="preserve"> SA</w:t>
      </w:r>
      <w:r w:rsidR="00E01B50" w:rsidRPr="00FC109D">
        <w:rPr>
          <w:rFonts w:ascii="Times New Roman" w:hAnsi="Times New Roman" w:cs="Times New Roman"/>
          <w:lang w:val="ro-MD"/>
        </w:rPr>
        <w:t>. Pâ</w:t>
      </w:r>
      <w:r w:rsidRPr="00FC109D">
        <w:rPr>
          <w:rFonts w:ascii="Times New Roman" w:hAnsi="Times New Roman" w:cs="Times New Roman"/>
          <w:lang w:val="ro-MD"/>
        </w:rPr>
        <w:t>nă la sfârșitul lunii octombrie</w:t>
      </w:r>
      <w:r w:rsidR="00D50F18" w:rsidRPr="00FC109D">
        <w:rPr>
          <w:rFonts w:ascii="Times New Roman" w:hAnsi="Times New Roman" w:cs="Times New Roman"/>
          <w:lang w:val="ro-MD"/>
        </w:rPr>
        <w:t>,</w:t>
      </w:r>
      <w:r w:rsidRPr="00FC109D">
        <w:rPr>
          <w:rFonts w:ascii="Times New Roman" w:hAnsi="Times New Roman" w:cs="Times New Roman"/>
          <w:lang w:val="ro-MD"/>
        </w:rPr>
        <w:t xml:space="preserve"> astfel de acorduri vor fi semnate cu alte trei </w:t>
      </w:r>
      <w:r w:rsidR="0089048F" w:rsidRPr="00FC109D">
        <w:rPr>
          <w:rFonts w:ascii="Times New Roman" w:hAnsi="Times New Roman" w:cs="Times New Roman"/>
          <w:lang w:val="ro-MD"/>
        </w:rPr>
        <w:t>bănci</w:t>
      </w:r>
      <w:r w:rsidRPr="00FC109D">
        <w:rPr>
          <w:rFonts w:ascii="Times New Roman" w:hAnsi="Times New Roman" w:cs="Times New Roman"/>
          <w:lang w:val="ro-MD"/>
        </w:rPr>
        <w:t xml:space="preserve"> - </w:t>
      </w:r>
      <w:proofErr w:type="spellStart"/>
      <w:r w:rsidRPr="00FC109D">
        <w:rPr>
          <w:rFonts w:ascii="Times New Roman" w:hAnsi="Times New Roman" w:cs="Times New Roman"/>
          <w:lang w:val="ro-MD"/>
        </w:rPr>
        <w:t>FinComBank</w:t>
      </w:r>
      <w:proofErr w:type="spellEnd"/>
      <w:r w:rsidRPr="00FC109D">
        <w:rPr>
          <w:rFonts w:ascii="Times New Roman" w:hAnsi="Times New Roman" w:cs="Times New Roman"/>
          <w:lang w:val="ro-MD"/>
        </w:rPr>
        <w:t xml:space="preserve"> SA, </w:t>
      </w:r>
      <w:proofErr w:type="spellStart"/>
      <w:r w:rsidRPr="00FC109D">
        <w:rPr>
          <w:rFonts w:ascii="Times New Roman" w:hAnsi="Times New Roman" w:cs="Times New Roman"/>
          <w:lang w:val="ro-MD"/>
        </w:rPr>
        <w:t>ProCredit</w:t>
      </w:r>
      <w:proofErr w:type="spellEnd"/>
      <w:r w:rsidRPr="00FC109D">
        <w:rPr>
          <w:rFonts w:ascii="Times New Roman" w:hAnsi="Times New Roman" w:cs="Times New Roman"/>
          <w:lang w:val="ro-MD"/>
        </w:rPr>
        <w:t xml:space="preserve"> SA </w:t>
      </w:r>
      <w:r w:rsidR="00D50F18" w:rsidRPr="00FC109D">
        <w:rPr>
          <w:rFonts w:ascii="Times New Roman" w:hAnsi="Times New Roman" w:cs="Times New Roman"/>
          <w:lang w:val="ro-MD"/>
        </w:rPr>
        <w:t>ș</w:t>
      </w:r>
      <w:r w:rsidRPr="00FC109D">
        <w:rPr>
          <w:rFonts w:ascii="Times New Roman" w:hAnsi="Times New Roman" w:cs="Times New Roman"/>
          <w:lang w:val="ro-MD"/>
        </w:rPr>
        <w:t xml:space="preserve">i Moldova </w:t>
      </w:r>
      <w:proofErr w:type="spellStart"/>
      <w:r w:rsidRPr="00FC109D">
        <w:rPr>
          <w:rFonts w:ascii="Times New Roman" w:hAnsi="Times New Roman" w:cs="Times New Roman"/>
          <w:lang w:val="ro-MD"/>
        </w:rPr>
        <w:t>Agroindbank</w:t>
      </w:r>
      <w:proofErr w:type="spellEnd"/>
      <w:r w:rsidRPr="00FC109D">
        <w:rPr>
          <w:rFonts w:ascii="Times New Roman" w:hAnsi="Times New Roman" w:cs="Times New Roman"/>
          <w:lang w:val="ro-MD"/>
        </w:rPr>
        <w:t xml:space="preserve"> SA.</w:t>
      </w:r>
    </w:p>
    <w:p w14:paraId="2B10F417" w14:textId="78558797" w:rsidR="009D6056" w:rsidRPr="00FC109D" w:rsidRDefault="00D50F18" w:rsidP="002C7C89">
      <w:pPr>
        <w:jc w:val="both"/>
        <w:rPr>
          <w:rFonts w:ascii="Times New Roman" w:hAnsi="Times New Roman" w:cs="Times New Roman"/>
          <w:lang w:val="ro-MD"/>
        </w:rPr>
      </w:pPr>
      <w:r w:rsidRPr="00FC109D">
        <w:rPr>
          <w:rFonts w:ascii="Times New Roman" w:hAnsi="Times New Roman" w:cs="Times New Roman"/>
          <w:lang w:val="ro-MD"/>
        </w:rPr>
        <w:t>Procesul de s</w:t>
      </w:r>
      <w:r w:rsidR="00FF7A01" w:rsidRPr="00FC109D">
        <w:rPr>
          <w:rFonts w:ascii="Times New Roman" w:hAnsi="Times New Roman" w:cs="Times New Roman"/>
          <w:lang w:val="ro-MD"/>
        </w:rPr>
        <w:t>electare</w:t>
      </w:r>
      <w:r w:rsidRPr="00FC109D">
        <w:rPr>
          <w:rFonts w:ascii="Times New Roman" w:hAnsi="Times New Roman" w:cs="Times New Roman"/>
          <w:lang w:val="ro-MD"/>
        </w:rPr>
        <w:t xml:space="preserve"> </w:t>
      </w:r>
      <w:r w:rsidR="00FF7A01" w:rsidRPr="00FC109D">
        <w:rPr>
          <w:rFonts w:ascii="Times New Roman" w:hAnsi="Times New Roman" w:cs="Times New Roman"/>
          <w:lang w:val="ro-MD"/>
        </w:rPr>
        <w:t xml:space="preserve">a </w:t>
      </w:r>
      <w:r w:rsidR="001D1A09" w:rsidRPr="00FC109D">
        <w:rPr>
          <w:rFonts w:ascii="Times New Roman" w:hAnsi="Times New Roman" w:cs="Times New Roman"/>
          <w:lang w:val="ro-MD"/>
        </w:rPr>
        <w:t>companiei</w:t>
      </w:r>
      <w:r w:rsidR="00FF7A01" w:rsidRPr="00FC109D">
        <w:rPr>
          <w:rFonts w:ascii="Times New Roman" w:hAnsi="Times New Roman" w:cs="Times New Roman"/>
          <w:lang w:val="ro-MD"/>
        </w:rPr>
        <w:t xml:space="preserve"> </w:t>
      </w:r>
      <w:r w:rsidRPr="00FC109D">
        <w:rPr>
          <w:rFonts w:ascii="Times New Roman" w:hAnsi="Times New Roman" w:cs="Times New Roman"/>
          <w:lang w:val="ro-MD"/>
        </w:rPr>
        <w:t xml:space="preserve">pentru </w:t>
      </w:r>
      <w:r w:rsidR="00FF7A01" w:rsidRPr="00FC109D">
        <w:rPr>
          <w:rFonts w:ascii="Times New Roman" w:hAnsi="Times New Roman" w:cs="Times New Roman"/>
          <w:lang w:val="ro-MD"/>
        </w:rPr>
        <w:t xml:space="preserve">elaborarea programului soft pentru FGC a fost finalizat, iar concursul </w:t>
      </w:r>
      <w:r w:rsidR="002C7C89" w:rsidRPr="00FC109D">
        <w:rPr>
          <w:rFonts w:ascii="Times New Roman" w:hAnsi="Times New Roman" w:cs="Times New Roman"/>
          <w:lang w:val="ro-MD"/>
        </w:rPr>
        <w:t>a fost câștigat de un consorțiu</w:t>
      </w:r>
      <w:r w:rsidR="00FF7A01" w:rsidRPr="00FC109D">
        <w:rPr>
          <w:rFonts w:ascii="Times New Roman" w:hAnsi="Times New Roman" w:cs="Times New Roman"/>
          <w:lang w:val="ro-MD"/>
        </w:rPr>
        <w:t xml:space="preserve"> de companii locale și din România. Consorțiu</w:t>
      </w:r>
      <w:r w:rsidR="002C7C89" w:rsidRPr="00FC109D">
        <w:rPr>
          <w:rFonts w:ascii="Times New Roman" w:hAnsi="Times New Roman" w:cs="Times New Roman"/>
          <w:lang w:val="ro-MD"/>
        </w:rPr>
        <w:t>l</w:t>
      </w:r>
      <w:r w:rsidR="00FF7A01" w:rsidRPr="00FC109D">
        <w:rPr>
          <w:rFonts w:ascii="Times New Roman" w:hAnsi="Times New Roman" w:cs="Times New Roman"/>
          <w:lang w:val="ro-MD"/>
        </w:rPr>
        <w:t xml:space="preserve"> a depus o propunere tehnică și financiară, care </w:t>
      </w:r>
      <w:r w:rsidR="0089048F" w:rsidRPr="00FC109D">
        <w:rPr>
          <w:rFonts w:ascii="Times New Roman" w:hAnsi="Times New Roman" w:cs="Times New Roman"/>
          <w:lang w:val="ro-MD"/>
        </w:rPr>
        <w:t>este in proces de evaluare</w:t>
      </w:r>
      <w:r w:rsidR="00FF7A01" w:rsidRPr="00FC109D">
        <w:rPr>
          <w:rFonts w:ascii="Times New Roman" w:hAnsi="Times New Roman" w:cs="Times New Roman"/>
          <w:lang w:val="ro-MD"/>
        </w:rPr>
        <w:t xml:space="preserve">. Bugetul pentru această sarcină a fost subestimat, acest fapt fiind </w:t>
      </w:r>
      <w:r w:rsidR="001D1A09" w:rsidRPr="00FC109D">
        <w:rPr>
          <w:rFonts w:ascii="Times New Roman" w:hAnsi="Times New Roman" w:cs="Times New Roman"/>
          <w:lang w:val="ro-MD"/>
        </w:rPr>
        <w:t>menționat, de asemenea, de Banc</w:t>
      </w:r>
      <w:r w:rsidR="0089048F" w:rsidRPr="00FC109D">
        <w:rPr>
          <w:rFonts w:ascii="Times New Roman" w:hAnsi="Times New Roman" w:cs="Times New Roman"/>
          <w:lang w:val="ro-MD"/>
        </w:rPr>
        <w:t>a</w:t>
      </w:r>
      <w:r w:rsidR="001D1A09" w:rsidRPr="00FC109D">
        <w:rPr>
          <w:rFonts w:ascii="Times New Roman" w:hAnsi="Times New Roman" w:cs="Times New Roman"/>
          <w:lang w:val="ro-MD"/>
        </w:rPr>
        <w:t xml:space="preserve"> Mondială</w:t>
      </w:r>
      <w:r w:rsidR="00FF7A01" w:rsidRPr="00FC109D">
        <w:rPr>
          <w:rFonts w:ascii="Times New Roman" w:hAnsi="Times New Roman" w:cs="Times New Roman"/>
          <w:lang w:val="ro-MD"/>
        </w:rPr>
        <w:t xml:space="preserve"> la etapa de aprobare, deoarece oferta financiară depășește bugetul </w:t>
      </w:r>
      <w:r w:rsidR="001D1A09" w:rsidRPr="00FC109D">
        <w:rPr>
          <w:rFonts w:ascii="Times New Roman" w:hAnsi="Times New Roman" w:cs="Times New Roman"/>
          <w:lang w:val="ro-MD"/>
        </w:rPr>
        <w:t>stabilit</w:t>
      </w:r>
      <w:r w:rsidR="00FF7A01" w:rsidRPr="00FC109D">
        <w:rPr>
          <w:rFonts w:ascii="Times New Roman" w:hAnsi="Times New Roman" w:cs="Times New Roman"/>
          <w:lang w:val="ro-MD"/>
        </w:rPr>
        <w:t xml:space="preserve">, deși argumentele pentru </w:t>
      </w:r>
      <w:r w:rsidR="009D6056" w:rsidRPr="00FC109D">
        <w:rPr>
          <w:rFonts w:ascii="Times New Roman" w:hAnsi="Times New Roman" w:cs="Times New Roman"/>
          <w:lang w:val="ro-MD"/>
        </w:rPr>
        <w:t xml:space="preserve">această mărire vor fi </w:t>
      </w:r>
      <w:r w:rsidR="0089048F" w:rsidRPr="00FC109D">
        <w:rPr>
          <w:rFonts w:ascii="Times New Roman" w:hAnsi="Times New Roman" w:cs="Times New Roman"/>
          <w:lang w:val="ro-MD"/>
        </w:rPr>
        <w:t>analizate</w:t>
      </w:r>
      <w:r w:rsidR="009D6056" w:rsidRPr="00FC109D">
        <w:rPr>
          <w:rFonts w:ascii="Times New Roman" w:hAnsi="Times New Roman" w:cs="Times New Roman"/>
          <w:lang w:val="ro-MD"/>
        </w:rPr>
        <w:t xml:space="preserve"> pe parcursul negocierilor. </w:t>
      </w:r>
    </w:p>
    <w:p w14:paraId="50954B58" w14:textId="043FA5FE" w:rsidR="00E01B50" w:rsidRPr="00FC109D" w:rsidRDefault="009D6056" w:rsidP="002C7C89">
      <w:pPr>
        <w:jc w:val="both"/>
        <w:rPr>
          <w:rFonts w:ascii="Times New Roman" w:hAnsi="Times New Roman" w:cs="Times New Roman"/>
          <w:lang w:val="ro-MD"/>
        </w:rPr>
      </w:pPr>
      <w:r w:rsidRPr="00FC109D">
        <w:rPr>
          <w:rFonts w:ascii="Times New Roman" w:hAnsi="Times New Roman" w:cs="Times New Roman"/>
          <w:lang w:val="ro-MD"/>
        </w:rPr>
        <w:t xml:space="preserve">Expertul individual angajat în cadrul PAC pentru a dezvolta specificațiile tehnice pentru </w:t>
      </w:r>
      <w:r w:rsidR="002C7C89" w:rsidRPr="00FC109D">
        <w:rPr>
          <w:rFonts w:ascii="Times New Roman" w:hAnsi="Times New Roman" w:cs="Times New Roman"/>
          <w:lang w:val="ro-MD"/>
        </w:rPr>
        <w:t xml:space="preserve">programul </w:t>
      </w:r>
      <w:r w:rsidRPr="00FC109D">
        <w:rPr>
          <w:rFonts w:ascii="Times New Roman" w:hAnsi="Times New Roman" w:cs="Times New Roman"/>
          <w:lang w:val="ro-MD"/>
        </w:rPr>
        <w:t xml:space="preserve">soft va asista comisia de licitație și ODIMM în timpul procesului de evaluare. Este de menționat faptul că </w:t>
      </w:r>
      <w:r w:rsidRPr="00FC109D">
        <w:rPr>
          <w:rFonts w:ascii="Times New Roman" w:hAnsi="Times New Roman" w:cs="Times New Roman"/>
          <w:lang w:val="ro-MD"/>
        </w:rPr>
        <w:lastRenderedPageBreak/>
        <w:t>suportul adițional din partea exper</w:t>
      </w:r>
      <w:r w:rsidR="0089048F" w:rsidRPr="00FC109D">
        <w:rPr>
          <w:rFonts w:ascii="Times New Roman" w:hAnsi="Times New Roman" w:cs="Times New Roman"/>
          <w:lang w:val="ro-MD"/>
        </w:rPr>
        <w:t>tului</w:t>
      </w:r>
      <w:r w:rsidRPr="00FC109D">
        <w:rPr>
          <w:rFonts w:ascii="Times New Roman" w:hAnsi="Times New Roman" w:cs="Times New Roman"/>
          <w:lang w:val="ro-MD"/>
        </w:rPr>
        <w:t xml:space="preserve"> va fi necesar, de asemenea, la o etapă ulterioară de elaborare/ acceptare a </w:t>
      </w:r>
      <w:r w:rsidR="002C7C89" w:rsidRPr="00FC109D">
        <w:rPr>
          <w:rFonts w:ascii="Times New Roman" w:hAnsi="Times New Roman" w:cs="Times New Roman"/>
          <w:lang w:val="ro-MD"/>
        </w:rPr>
        <w:t>soft-ului</w:t>
      </w:r>
      <w:r w:rsidRPr="00FC109D">
        <w:rPr>
          <w:rFonts w:ascii="Times New Roman" w:hAnsi="Times New Roman" w:cs="Times New Roman"/>
          <w:lang w:val="ro-MD"/>
        </w:rPr>
        <w:t>. ODIMM a evidențiat necesitatea de modificare a contractului</w:t>
      </w:r>
      <w:r w:rsidR="002C7C89" w:rsidRPr="00FC109D">
        <w:rPr>
          <w:rFonts w:ascii="Times New Roman" w:hAnsi="Times New Roman" w:cs="Times New Roman"/>
          <w:lang w:val="ro-MD"/>
        </w:rPr>
        <w:t xml:space="preserve"> încheiat</w:t>
      </w:r>
      <w:r w:rsidRPr="00FC109D">
        <w:rPr>
          <w:rFonts w:ascii="Times New Roman" w:hAnsi="Times New Roman" w:cs="Times New Roman"/>
          <w:lang w:val="ro-MD"/>
        </w:rPr>
        <w:t xml:space="preserve"> cu expertul, întrucât o ulterioară colaborare va ajuta atât beneficiarul, cât și </w:t>
      </w:r>
      <w:r w:rsidR="00D50F18" w:rsidRPr="00FC109D">
        <w:rPr>
          <w:rFonts w:ascii="Times New Roman" w:hAnsi="Times New Roman" w:cs="Times New Roman"/>
          <w:lang w:val="ro-MD"/>
        </w:rPr>
        <w:t>U</w:t>
      </w:r>
      <w:r w:rsidR="001D1A09" w:rsidRPr="00FC109D">
        <w:rPr>
          <w:rFonts w:ascii="Times New Roman" w:hAnsi="Times New Roman" w:cs="Times New Roman"/>
          <w:lang w:val="ro-MD"/>
        </w:rPr>
        <w:t>nitatea de implementare</w:t>
      </w:r>
      <w:r w:rsidRPr="00FC109D">
        <w:rPr>
          <w:rFonts w:ascii="Times New Roman" w:hAnsi="Times New Roman" w:cs="Times New Roman"/>
          <w:lang w:val="ro-MD"/>
        </w:rPr>
        <w:t>.</w:t>
      </w:r>
      <w:r w:rsidR="00FF7A01" w:rsidRPr="00FC109D">
        <w:rPr>
          <w:rFonts w:ascii="Times New Roman" w:hAnsi="Times New Roman" w:cs="Times New Roman"/>
          <w:lang w:val="ro-MD"/>
        </w:rPr>
        <w:t xml:space="preserve">   </w:t>
      </w:r>
    </w:p>
    <w:p w14:paraId="4F99D809" w14:textId="18CFB7C0" w:rsidR="009D6056" w:rsidRPr="00FC109D" w:rsidRDefault="00E62236" w:rsidP="002C7C89">
      <w:pPr>
        <w:jc w:val="both"/>
        <w:rPr>
          <w:rFonts w:ascii="Times New Roman" w:hAnsi="Times New Roman" w:cs="Times New Roman"/>
          <w:lang w:val="ro-MD"/>
        </w:rPr>
      </w:pPr>
      <w:r w:rsidRPr="00FC109D">
        <w:rPr>
          <w:rFonts w:ascii="Times New Roman" w:hAnsi="Times New Roman" w:cs="Times New Roman"/>
          <w:b/>
          <w:lang w:val="ro-MD"/>
        </w:rPr>
        <w:t>Rata de debursare a</w:t>
      </w:r>
      <w:r w:rsidR="009D6056" w:rsidRPr="00FC109D">
        <w:rPr>
          <w:rFonts w:ascii="Times New Roman" w:hAnsi="Times New Roman" w:cs="Times New Roman"/>
          <w:b/>
          <w:lang w:val="ro-MD"/>
        </w:rPr>
        <w:t xml:space="preserve"> liniei de credit este de 36%.</w:t>
      </w:r>
      <w:r w:rsidR="009D6056" w:rsidRPr="00FC109D">
        <w:rPr>
          <w:rFonts w:ascii="Times New Roman" w:hAnsi="Times New Roman" w:cs="Times New Roman"/>
          <w:lang w:val="ro-MD"/>
        </w:rPr>
        <w:t xml:space="preserve"> </w:t>
      </w:r>
      <w:r w:rsidRPr="00FC109D">
        <w:rPr>
          <w:rFonts w:ascii="Times New Roman" w:hAnsi="Times New Roman" w:cs="Times New Roman"/>
          <w:lang w:val="ro-MD"/>
        </w:rPr>
        <w:t>Începând cu luna</w:t>
      </w:r>
      <w:r w:rsidR="009D6056" w:rsidRPr="00FC109D">
        <w:rPr>
          <w:rFonts w:ascii="Times New Roman" w:hAnsi="Times New Roman" w:cs="Times New Roman"/>
          <w:lang w:val="ro-MD"/>
        </w:rPr>
        <w:t xml:space="preserve"> iunie 2016 (data ultimei vizite </w:t>
      </w:r>
      <w:r w:rsidR="002C7C89" w:rsidRPr="00FC109D">
        <w:rPr>
          <w:rFonts w:ascii="Times New Roman" w:hAnsi="Times New Roman" w:cs="Times New Roman"/>
          <w:lang w:val="ro-MD"/>
        </w:rPr>
        <w:t xml:space="preserve">a </w:t>
      </w:r>
      <w:r w:rsidR="009D6056" w:rsidRPr="00FC109D">
        <w:rPr>
          <w:rFonts w:ascii="Times New Roman" w:hAnsi="Times New Roman" w:cs="Times New Roman"/>
          <w:lang w:val="ro-MD"/>
        </w:rPr>
        <w:t xml:space="preserve">echipei </w:t>
      </w:r>
      <w:r w:rsidR="009F423A" w:rsidRPr="00FC109D">
        <w:rPr>
          <w:rFonts w:ascii="Times New Roman" w:hAnsi="Times New Roman" w:cs="Times New Roman"/>
          <w:lang w:val="ro-MD"/>
        </w:rPr>
        <w:t>BM</w:t>
      </w:r>
      <w:r w:rsidR="009D6056" w:rsidRPr="00FC109D">
        <w:rPr>
          <w:rFonts w:ascii="Times New Roman" w:hAnsi="Times New Roman" w:cs="Times New Roman"/>
          <w:lang w:val="ro-MD"/>
        </w:rPr>
        <w:t>)</w:t>
      </w:r>
      <w:r w:rsidRPr="00FC109D">
        <w:rPr>
          <w:rFonts w:ascii="Times New Roman" w:hAnsi="Times New Roman" w:cs="Times New Roman"/>
          <w:lang w:val="ro-MD"/>
        </w:rPr>
        <w:t xml:space="preserve">, nu a fost înregistrat progres semnificativ în </w:t>
      </w:r>
      <w:r w:rsidR="009F423A" w:rsidRPr="00FC109D">
        <w:rPr>
          <w:rFonts w:ascii="Times New Roman" w:hAnsi="Times New Roman" w:cs="Times New Roman"/>
          <w:lang w:val="ro-MD"/>
        </w:rPr>
        <w:t>utili</w:t>
      </w:r>
      <w:r w:rsidR="00D50F18" w:rsidRPr="00FC109D">
        <w:rPr>
          <w:rFonts w:ascii="Times New Roman" w:hAnsi="Times New Roman" w:cs="Times New Roman"/>
          <w:lang w:val="ro-MD"/>
        </w:rPr>
        <w:t>z</w:t>
      </w:r>
      <w:r w:rsidR="009F423A" w:rsidRPr="00FC109D">
        <w:rPr>
          <w:rFonts w:ascii="Times New Roman" w:hAnsi="Times New Roman" w:cs="Times New Roman"/>
          <w:lang w:val="ro-MD"/>
        </w:rPr>
        <w:t>area resurselor</w:t>
      </w:r>
      <w:r w:rsidRPr="00FC109D">
        <w:rPr>
          <w:rFonts w:ascii="Times New Roman" w:hAnsi="Times New Roman" w:cs="Times New Roman"/>
          <w:lang w:val="ro-MD"/>
        </w:rPr>
        <w:t xml:space="preserve"> liniei de credit</w:t>
      </w:r>
      <w:r w:rsidR="009D6056" w:rsidRPr="00FC109D">
        <w:rPr>
          <w:rFonts w:ascii="Times New Roman" w:hAnsi="Times New Roman" w:cs="Times New Roman"/>
          <w:lang w:val="ro-MD"/>
        </w:rPr>
        <w:t xml:space="preserve">. </w:t>
      </w:r>
      <w:r w:rsidR="009F423A" w:rsidRPr="00FC109D">
        <w:rPr>
          <w:rFonts w:ascii="Times New Roman" w:hAnsi="Times New Roman" w:cs="Times New Roman"/>
          <w:lang w:val="ro-MD"/>
        </w:rPr>
        <w:t xml:space="preserve">La </w:t>
      </w:r>
      <w:r w:rsidR="009D6056" w:rsidRPr="00FC109D">
        <w:rPr>
          <w:rFonts w:ascii="Times New Roman" w:hAnsi="Times New Roman" w:cs="Times New Roman"/>
          <w:lang w:val="ro-MD"/>
        </w:rPr>
        <w:t>mijlocul lunii octombrie</w:t>
      </w:r>
      <w:r w:rsidR="009F423A" w:rsidRPr="00FC109D">
        <w:rPr>
          <w:rFonts w:ascii="Times New Roman" w:hAnsi="Times New Roman" w:cs="Times New Roman"/>
          <w:lang w:val="ro-MD"/>
        </w:rPr>
        <w:t xml:space="preserve"> curent</w:t>
      </w:r>
      <w:r w:rsidRPr="00FC109D">
        <w:rPr>
          <w:rFonts w:ascii="Times New Roman" w:hAnsi="Times New Roman" w:cs="Times New Roman"/>
          <w:lang w:val="ro-MD"/>
        </w:rPr>
        <w:t>,</w:t>
      </w:r>
      <w:r w:rsidR="009D6056" w:rsidRPr="00FC109D">
        <w:rPr>
          <w:rFonts w:ascii="Times New Roman" w:hAnsi="Times New Roman" w:cs="Times New Roman"/>
          <w:lang w:val="ro-MD"/>
        </w:rPr>
        <w:t xml:space="preserve"> rata de </w:t>
      </w:r>
      <w:r w:rsidRPr="00FC109D">
        <w:rPr>
          <w:rFonts w:ascii="Times New Roman" w:hAnsi="Times New Roman" w:cs="Times New Roman"/>
          <w:lang w:val="ro-MD"/>
        </w:rPr>
        <w:t>debursare</w:t>
      </w:r>
      <w:r w:rsidR="009D6056" w:rsidRPr="00FC109D">
        <w:rPr>
          <w:rFonts w:ascii="Times New Roman" w:hAnsi="Times New Roman" w:cs="Times New Roman"/>
          <w:lang w:val="ro-MD"/>
        </w:rPr>
        <w:t xml:space="preserve"> </w:t>
      </w:r>
      <w:r w:rsidRPr="00FC109D">
        <w:rPr>
          <w:rFonts w:ascii="Times New Roman" w:hAnsi="Times New Roman" w:cs="Times New Roman"/>
          <w:lang w:val="ro-MD"/>
        </w:rPr>
        <w:t>în cadrul</w:t>
      </w:r>
      <w:r w:rsidR="009D6056" w:rsidRPr="00FC109D">
        <w:rPr>
          <w:rFonts w:ascii="Times New Roman" w:hAnsi="Times New Roman" w:cs="Times New Roman"/>
          <w:lang w:val="ro-MD"/>
        </w:rPr>
        <w:t xml:space="preserve"> Lini</w:t>
      </w:r>
      <w:r w:rsidR="00FA6B77" w:rsidRPr="00FC109D">
        <w:rPr>
          <w:rFonts w:ascii="Times New Roman" w:hAnsi="Times New Roman" w:cs="Times New Roman"/>
          <w:lang w:val="ro-MD"/>
        </w:rPr>
        <w:t>ei</w:t>
      </w:r>
      <w:r w:rsidR="009D6056" w:rsidRPr="00FC109D">
        <w:rPr>
          <w:rFonts w:ascii="Times New Roman" w:hAnsi="Times New Roman" w:cs="Times New Roman"/>
          <w:lang w:val="ro-MD"/>
        </w:rPr>
        <w:t xml:space="preserve"> de </w:t>
      </w:r>
      <w:r w:rsidRPr="00FC109D">
        <w:rPr>
          <w:rFonts w:ascii="Times New Roman" w:hAnsi="Times New Roman" w:cs="Times New Roman"/>
          <w:lang w:val="ro-MD"/>
        </w:rPr>
        <w:t>C</w:t>
      </w:r>
      <w:r w:rsidR="009D6056" w:rsidRPr="00FC109D">
        <w:rPr>
          <w:rFonts w:ascii="Times New Roman" w:hAnsi="Times New Roman" w:cs="Times New Roman"/>
          <w:lang w:val="ro-MD"/>
        </w:rPr>
        <w:t xml:space="preserve">redit </w:t>
      </w:r>
      <w:r w:rsidR="009F423A" w:rsidRPr="00FC109D">
        <w:rPr>
          <w:rFonts w:ascii="Times New Roman" w:hAnsi="Times New Roman" w:cs="Times New Roman"/>
          <w:lang w:val="ro-MD"/>
        </w:rPr>
        <w:t xml:space="preserve">este </w:t>
      </w:r>
      <w:r w:rsidR="009D6056" w:rsidRPr="00FC109D">
        <w:rPr>
          <w:rFonts w:ascii="Times New Roman" w:hAnsi="Times New Roman" w:cs="Times New Roman"/>
          <w:lang w:val="ro-MD"/>
        </w:rPr>
        <w:t>de 36%. În cadrul</w:t>
      </w:r>
      <w:r w:rsidR="00FA6B77" w:rsidRPr="00FC109D">
        <w:rPr>
          <w:rFonts w:ascii="Times New Roman" w:hAnsi="Times New Roman" w:cs="Times New Roman"/>
          <w:lang w:val="ro-MD"/>
        </w:rPr>
        <w:t xml:space="preserve"> sub-componentei </w:t>
      </w:r>
      <w:r w:rsidR="009D6056" w:rsidRPr="00FC109D">
        <w:rPr>
          <w:rFonts w:ascii="Times New Roman" w:hAnsi="Times New Roman" w:cs="Times New Roman"/>
          <w:lang w:val="ro-MD"/>
        </w:rPr>
        <w:t>Lin</w:t>
      </w:r>
      <w:r w:rsidR="00FA6B77" w:rsidRPr="00FC109D">
        <w:rPr>
          <w:rFonts w:ascii="Times New Roman" w:hAnsi="Times New Roman" w:cs="Times New Roman"/>
          <w:lang w:val="ro-MD"/>
        </w:rPr>
        <w:t>ia</w:t>
      </w:r>
      <w:r w:rsidR="009D6056" w:rsidRPr="00FC109D">
        <w:rPr>
          <w:rFonts w:ascii="Times New Roman" w:hAnsi="Times New Roman" w:cs="Times New Roman"/>
          <w:lang w:val="ro-MD"/>
        </w:rPr>
        <w:t xml:space="preserve"> de C</w:t>
      </w:r>
      <w:r w:rsidR="00FA6B77" w:rsidRPr="00FC109D">
        <w:rPr>
          <w:rFonts w:ascii="Times New Roman" w:hAnsi="Times New Roman" w:cs="Times New Roman"/>
          <w:lang w:val="ro-MD"/>
        </w:rPr>
        <w:t>redit, 53 de sub-proiecte î</w:t>
      </w:r>
      <w:r w:rsidR="009D6056" w:rsidRPr="00FC109D">
        <w:rPr>
          <w:rFonts w:ascii="Times New Roman" w:hAnsi="Times New Roman" w:cs="Times New Roman"/>
          <w:lang w:val="ro-MD"/>
        </w:rPr>
        <w:t xml:space="preserve">n valoare de 9,1 milioane </w:t>
      </w:r>
      <w:r w:rsidR="00FA6B77" w:rsidRPr="00FC109D">
        <w:rPr>
          <w:rFonts w:ascii="Times New Roman" w:hAnsi="Times New Roman" w:cs="Times New Roman"/>
          <w:lang w:val="ro-MD"/>
        </w:rPr>
        <w:t>USD</w:t>
      </w:r>
      <w:r w:rsidR="009D6056" w:rsidRPr="00FC109D">
        <w:rPr>
          <w:rFonts w:ascii="Times New Roman" w:hAnsi="Times New Roman" w:cs="Times New Roman"/>
          <w:lang w:val="ro-MD"/>
        </w:rPr>
        <w:t xml:space="preserve"> au fost aprobate și finanțate. Ponderea exportatorilor direcți reprezintă 56% din numărul total de debitori și 78% din valoarea creditelor aprobate.</w:t>
      </w:r>
    </w:p>
    <w:p w14:paraId="47A65AF6" w14:textId="7F9BC33F" w:rsidR="00FA6B77" w:rsidRPr="00FC109D" w:rsidRDefault="00FA6B77" w:rsidP="002C7C89">
      <w:pPr>
        <w:jc w:val="both"/>
        <w:rPr>
          <w:rFonts w:ascii="Times New Roman" w:hAnsi="Times New Roman" w:cs="Times New Roman"/>
          <w:lang w:val="ro-MD"/>
        </w:rPr>
      </w:pPr>
      <w:r w:rsidRPr="00FC109D">
        <w:rPr>
          <w:rFonts w:ascii="Times New Roman" w:hAnsi="Times New Roman" w:cs="Times New Roman"/>
          <w:lang w:val="ro-MD"/>
        </w:rPr>
        <w:t xml:space="preserve">Principalele motive </w:t>
      </w:r>
      <w:r w:rsidR="00BC5687" w:rsidRPr="00FC109D">
        <w:rPr>
          <w:rFonts w:ascii="Times New Roman" w:hAnsi="Times New Roman" w:cs="Times New Roman"/>
          <w:lang w:val="ro-MD"/>
        </w:rPr>
        <w:t>pentru</w:t>
      </w:r>
      <w:r w:rsidRPr="00FC109D">
        <w:rPr>
          <w:rFonts w:ascii="Times New Roman" w:hAnsi="Times New Roman" w:cs="Times New Roman"/>
          <w:lang w:val="ro-MD"/>
        </w:rPr>
        <w:t xml:space="preserve"> lipsa </w:t>
      </w:r>
      <w:r w:rsidR="00BC5687" w:rsidRPr="00FC109D">
        <w:rPr>
          <w:rFonts w:ascii="Times New Roman" w:hAnsi="Times New Roman" w:cs="Times New Roman"/>
          <w:lang w:val="ro-MD"/>
        </w:rPr>
        <w:t>debursărilor</w:t>
      </w:r>
      <w:r w:rsidRPr="00FC109D">
        <w:rPr>
          <w:rFonts w:ascii="Times New Roman" w:hAnsi="Times New Roman" w:cs="Times New Roman"/>
          <w:lang w:val="ro-MD"/>
        </w:rPr>
        <w:t xml:space="preserve"> </w:t>
      </w:r>
      <w:r w:rsidR="00BC5687" w:rsidRPr="00FC109D">
        <w:rPr>
          <w:rFonts w:ascii="Times New Roman" w:hAnsi="Times New Roman" w:cs="Times New Roman"/>
          <w:lang w:val="ro-MD"/>
        </w:rPr>
        <w:t>reprezintă</w:t>
      </w:r>
      <w:r w:rsidRPr="00FC109D">
        <w:rPr>
          <w:rFonts w:ascii="Times New Roman" w:hAnsi="Times New Roman" w:cs="Times New Roman"/>
          <w:lang w:val="ro-MD"/>
        </w:rPr>
        <w:t>, în primul rând</w:t>
      </w:r>
      <w:r w:rsidR="00BC5687" w:rsidRPr="00FC109D">
        <w:rPr>
          <w:rFonts w:ascii="Times New Roman" w:hAnsi="Times New Roman" w:cs="Times New Roman"/>
          <w:lang w:val="ro-MD"/>
        </w:rPr>
        <w:t>, rata dobânzii la creditele acordate în MDL, mai înaltă</w:t>
      </w:r>
      <w:r w:rsidRPr="00FC109D">
        <w:rPr>
          <w:rFonts w:ascii="Times New Roman" w:hAnsi="Times New Roman" w:cs="Times New Roman"/>
          <w:lang w:val="ro-MD"/>
        </w:rPr>
        <w:t xml:space="preserve"> în comp</w:t>
      </w:r>
      <w:r w:rsidR="00BC5687" w:rsidRPr="00FC109D">
        <w:rPr>
          <w:rFonts w:ascii="Times New Roman" w:hAnsi="Times New Roman" w:cs="Times New Roman"/>
          <w:lang w:val="ro-MD"/>
        </w:rPr>
        <w:t xml:space="preserve">arație cu resursele proprii ale </w:t>
      </w:r>
      <w:r w:rsidR="009F423A" w:rsidRPr="00FC109D">
        <w:rPr>
          <w:rFonts w:ascii="Times New Roman" w:hAnsi="Times New Roman" w:cs="Times New Roman"/>
          <w:lang w:val="ro-MD"/>
        </w:rPr>
        <w:t>b</w:t>
      </w:r>
      <w:r w:rsidR="00D50F18" w:rsidRPr="00FC109D">
        <w:rPr>
          <w:rFonts w:ascii="Times New Roman" w:hAnsi="Times New Roman" w:cs="Times New Roman"/>
          <w:lang w:val="ro-MD"/>
        </w:rPr>
        <w:t>ă</w:t>
      </w:r>
      <w:r w:rsidR="009F423A" w:rsidRPr="00FC109D">
        <w:rPr>
          <w:rFonts w:ascii="Times New Roman" w:hAnsi="Times New Roman" w:cs="Times New Roman"/>
          <w:lang w:val="ro-MD"/>
        </w:rPr>
        <w:t>ncilor comerciale participante</w:t>
      </w:r>
      <w:r w:rsidRPr="00FC109D">
        <w:rPr>
          <w:rFonts w:ascii="Times New Roman" w:hAnsi="Times New Roman" w:cs="Times New Roman"/>
          <w:lang w:val="ro-MD"/>
        </w:rPr>
        <w:t xml:space="preserve">, precum și </w:t>
      </w:r>
      <w:r w:rsidR="009F423A" w:rsidRPr="00FC109D">
        <w:rPr>
          <w:rFonts w:ascii="Times New Roman" w:hAnsi="Times New Roman" w:cs="Times New Roman"/>
          <w:lang w:val="ro-MD"/>
        </w:rPr>
        <w:t xml:space="preserve">decizia </w:t>
      </w:r>
      <w:r w:rsidRPr="00FC109D">
        <w:rPr>
          <w:rFonts w:ascii="Times New Roman" w:hAnsi="Times New Roman" w:cs="Times New Roman"/>
          <w:lang w:val="ro-MD"/>
        </w:rPr>
        <w:t xml:space="preserve">Consiliului </w:t>
      </w:r>
      <w:r w:rsidR="00D664B9" w:rsidRPr="00FC109D">
        <w:rPr>
          <w:rFonts w:ascii="Times New Roman" w:hAnsi="Times New Roman" w:cs="Times New Roman"/>
          <w:lang w:val="ro-MD"/>
        </w:rPr>
        <w:t>DLC</w:t>
      </w:r>
      <w:r w:rsidRPr="00FC109D">
        <w:rPr>
          <w:rFonts w:ascii="Times New Roman" w:hAnsi="Times New Roman" w:cs="Times New Roman"/>
          <w:lang w:val="ro-MD"/>
        </w:rPr>
        <w:t xml:space="preserve"> de a </w:t>
      </w:r>
      <w:r w:rsidR="009F423A" w:rsidRPr="00FC109D">
        <w:rPr>
          <w:rFonts w:ascii="Times New Roman" w:hAnsi="Times New Roman" w:cs="Times New Roman"/>
          <w:lang w:val="ro-MD"/>
        </w:rPr>
        <w:t xml:space="preserve">nu </w:t>
      </w:r>
      <w:r w:rsidRPr="00FC109D">
        <w:rPr>
          <w:rFonts w:ascii="Times New Roman" w:hAnsi="Times New Roman" w:cs="Times New Roman"/>
          <w:lang w:val="ro-MD"/>
        </w:rPr>
        <w:t>oferi bănci</w:t>
      </w:r>
      <w:r w:rsidR="002C7C89" w:rsidRPr="00FC109D">
        <w:rPr>
          <w:rFonts w:ascii="Times New Roman" w:hAnsi="Times New Roman" w:cs="Times New Roman"/>
          <w:lang w:val="ro-MD"/>
        </w:rPr>
        <w:t>lor fonduri</w:t>
      </w:r>
      <w:r w:rsidRPr="00FC109D">
        <w:rPr>
          <w:rFonts w:ascii="Times New Roman" w:hAnsi="Times New Roman" w:cs="Times New Roman"/>
          <w:lang w:val="ro-MD"/>
        </w:rPr>
        <w:t xml:space="preserve"> în MDL, în vederea </w:t>
      </w:r>
      <w:r w:rsidR="009F423A" w:rsidRPr="00FC109D">
        <w:rPr>
          <w:rFonts w:ascii="Times New Roman" w:hAnsi="Times New Roman" w:cs="Times New Roman"/>
          <w:lang w:val="ro-MD"/>
        </w:rPr>
        <w:t>reducerii</w:t>
      </w:r>
      <w:r w:rsidRPr="00FC109D">
        <w:rPr>
          <w:rFonts w:ascii="Times New Roman" w:hAnsi="Times New Roman" w:cs="Times New Roman"/>
          <w:lang w:val="ro-MD"/>
        </w:rPr>
        <w:t xml:space="preserve"> riscurilor de schimb valutar </w:t>
      </w:r>
      <w:r w:rsidR="00D664B9" w:rsidRPr="00FC109D">
        <w:rPr>
          <w:rFonts w:ascii="Times New Roman" w:hAnsi="Times New Roman" w:cs="Times New Roman"/>
          <w:lang w:val="ro-MD"/>
        </w:rPr>
        <w:t>pentru Ministerul Finanțelor</w:t>
      </w:r>
      <w:r w:rsidRPr="00FC109D">
        <w:rPr>
          <w:rFonts w:ascii="Times New Roman" w:hAnsi="Times New Roman" w:cs="Times New Roman"/>
          <w:lang w:val="ro-MD"/>
        </w:rPr>
        <w:t>.</w:t>
      </w:r>
    </w:p>
    <w:p w14:paraId="102BD92E" w14:textId="7D787382" w:rsidR="00FA6B77" w:rsidRPr="00FC109D" w:rsidRDefault="00FA6B77" w:rsidP="002C7C89">
      <w:pPr>
        <w:jc w:val="both"/>
        <w:rPr>
          <w:rFonts w:ascii="Times New Roman" w:hAnsi="Times New Roman" w:cs="Times New Roman"/>
          <w:lang w:val="ro-MD"/>
        </w:rPr>
      </w:pPr>
      <w:r w:rsidRPr="00FC109D">
        <w:rPr>
          <w:rFonts w:ascii="Times New Roman" w:hAnsi="Times New Roman" w:cs="Times New Roman"/>
          <w:lang w:val="ro-MD"/>
        </w:rPr>
        <w:t>Începând cu 01.10.2016</w:t>
      </w:r>
      <w:r w:rsidR="00D50F18" w:rsidRPr="00FC109D">
        <w:rPr>
          <w:rFonts w:ascii="Times New Roman" w:hAnsi="Times New Roman" w:cs="Times New Roman"/>
          <w:lang w:val="ro-MD"/>
        </w:rPr>
        <w:t>,</w:t>
      </w:r>
      <w:r w:rsidRPr="00FC109D">
        <w:rPr>
          <w:rFonts w:ascii="Times New Roman" w:hAnsi="Times New Roman" w:cs="Times New Roman"/>
          <w:lang w:val="ro-MD"/>
        </w:rPr>
        <w:t xml:space="preserve"> aceste probleme </w:t>
      </w:r>
      <w:r w:rsidR="009F423A" w:rsidRPr="00FC109D">
        <w:rPr>
          <w:rFonts w:ascii="Times New Roman" w:hAnsi="Times New Roman" w:cs="Times New Roman"/>
          <w:lang w:val="ro-MD"/>
        </w:rPr>
        <w:t xml:space="preserve">au fost </w:t>
      </w:r>
      <w:proofErr w:type="spellStart"/>
      <w:r w:rsidR="00781248" w:rsidRPr="00FC109D">
        <w:rPr>
          <w:rFonts w:ascii="Times New Roman" w:hAnsi="Times New Roman" w:cs="Times New Roman"/>
          <w:lang w:val="ro-MD"/>
        </w:rPr>
        <w:t>depăşite</w:t>
      </w:r>
      <w:proofErr w:type="spellEnd"/>
      <w:r w:rsidRPr="00FC109D">
        <w:rPr>
          <w:rFonts w:ascii="Times New Roman" w:hAnsi="Times New Roman" w:cs="Times New Roman"/>
          <w:lang w:val="ro-MD"/>
        </w:rPr>
        <w:t xml:space="preserve">, Consiliul </w:t>
      </w:r>
      <w:r w:rsidR="00D664B9" w:rsidRPr="00FC109D">
        <w:rPr>
          <w:rFonts w:ascii="Times New Roman" w:hAnsi="Times New Roman" w:cs="Times New Roman"/>
          <w:lang w:val="ro-MD"/>
        </w:rPr>
        <w:t>DLC</w:t>
      </w:r>
      <w:r w:rsidRPr="00FC109D">
        <w:rPr>
          <w:rFonts w:ascii="Times New Roman" w:hAnsi="Times New Roman" w:cs="Times New Roman"/>
          <w:lang w:val="ro-MD"/>
        </w:rPr>
        <w:t xml:space="preserve"> a decis să permită finanțare</w:t>
      </w:r>
      <w:r w:rsidR="009F423A" w:rsidRPr="00FC109D">
        <w:rPr>
          <w:rFonts w:ascii="Times New Roman" w:hAnsi="Times New Roman" w:cs="Times New Roman"/>
          <w:lang w:val="ro-MD"/>
        </w:rPr>
        <w:t>a</w:t>
      </w:r>
      <w:r w:rsidRPr="00FC109D">
        <w:rPr>
          <w:rFonts w:ascii="Times New Roman" w:hAnsi="Times New Roman" w:cs="Times New Roman"/>
          <w:lang w:val="ro-MD"/>
        </w:rPr>
        <w:t xml:space="preserve"> în cadrul </w:t>
      </w:r>
      <w:r w:rsidR="00D664B9" w:rsidRPr="00FC109D">
        <w:rPr>
          <w:rFonts w:ascii="Times New Roman" w:hAnsi="Times New Roman" w:cs="Times New Roman"/>
          <w:lang w:val="ro-MD"/>
        </w:rPr>
        <w:t>PAC a</w:t>
      </w:r>
      <w:r w:rsidRPr="00FC109D">
        <w:rPr>
          <w:rFonts w:ascii="Times New Roman" w:hAnsi="Times New Roman" w:cs="Times New Roman"/>
          <w:lang w:val="ro-MD"/>
        </w:rPr>
        <w:t xml:space="preserve"> Lini</w:t>
      </w:r>
      <w:r w:rsidR="00D664B9" w:rsidRPr="00FC109D">
        <w:rPr>
          <w:rFonts w:ascii="Times New Roman" w:hAnsi="Times New Roman" w:cs="Times New Roman"/>
          <w:lang w:val="ro-MD"/>
        </w:rPr>
        <w:t>ei</w:t>
      </w:r>
      <w:r w:rsidRPr="00FC109D">
        <w:rPr>
          <w:rFonts w:ascii="Times New Roman" w:hAnsi="Times New Roman" w:cs="Times New Roman"/>
          <w:lang w:val="ro-MD"/>
        </w:rPr>
        <w:t xml:space="preserve"> de C</w:t>
      </w:r>
      <w:r w:rsidR="00D664B9" w:rsidRPr="00FC109D">
        <w:rPr>
          <w:rFonts w:ascii="Times New Roman" w:hAnsi="Times New Roman" w:cs="Times New Roman"/>
          <w:lang w:val="ro-MD"/>
        </w:rPr>
        <w:t>redit</w:t>
      </w:r>
      <w:r w:rsidRPr="00FC109D">
        <w:rPr>
          <w:rFonts w:ascii="Times New Roman" w:hAnsi="Times New Roman" w:cs="Times New Roman"/>
          <w:lang w:val="ro-MD"/>
        </w:rPr>
        <w:t xml:space="preserve"> </w:t>
      </w:r>
      <w:r w:rsidR="009F423A" w:rsidRPr="00FC109D">
        <w:rPr>
          <w:rFonts w:ascii="Times New Roman" w:hAnsi="Times New Roman" w:cs="Times New Roman"/>
          <w:lang w:val="ro-MD"/>
        </w:rPr>
        <w:t xml:space="preserve">și </w:t>
      </w:r>
      <w:r w:rsidRPr="00FC109D">
        <w:rPr>
          <w:rFonts w:ascii="Times New Roman" w:hAnsi="Times New Roman" w:cs="Times New Roman"/>
          <w:lang w:val="ro-MD"/>
        </w:rPr>
        <w:t xml:space="preserve">în </w:t>
      </w:r>
      <w:r w:rsidR="00C10231">
        <w:rPr>
          <w:rFonts w:ascii="Times New Roman" w:hAnsi="Times New Roman" w:cs="Times New Roman"/>
          <w:lang w:val="ro-MD"/>
        </w:rPr>
        <w:t xml:space="preserve">MDL </w:t>
      </w:r>
      <w:r w:rsidR="002C7C89" w:rsidRPr="00FC109D">
        <w:rPr>
          <w:rFonts w:ascii="Times New Roman" w:hAnsi="Times New Roman" w:cs="Times New Roman"/>
          <w:lang w:val="ro-MD"/>
        </w:rPr>
        <w:t xml:space="preserve">iar </w:t>
      </w:r>
      <w:r w:rsidRPr="00FC109D">
        <w:rPr>
          <w:rFonts w:ascii="Times New Roman" w:hAnsi="Times New Roman" w:cs="Times New Roman"/>
          <w:lang w:val="ro-MD"/>
        </w:rPr>
        <w:t xml:space="preserve">rata dobânzii pentru </w:t>
      </w:r>
      <w:r w:rsidR="009F423A" w:rsidRPr="00FC109D">
        <w:rPr>
          <w:rFonts w:ascii="Times New Roman" w:hAnsi="Times New Roman" w:cs="Times New Roman"/>
          <w:lang w:val="ro-MD"/>
        </w:rPr>
        <w:t>b</w:t>
      </w:r>
      <w:r w:rsidR="00D50F18" w:rsidRPr="00FC109D">
        <w:rPr>
          <w:rFonts w:ascii="Times New Roman" w:hAnsi="Times New Roman" w:cs="Times New Roman"/>
          <w:lang w:val="ro-MD"/>
        </w:rPr>
        <w:t>ă</w:t>
      </w:r>
      <w:r w:rsidR="009F423A" w:rsidRPr="00FC109D">
        <w:rPr>
          <w:rFonts w:ascii="Times New Roman" w:hAnsi="Times New Roman" w:cs="Times New Roman"/>
          <w:lang w:val="ro-MD"/>
        </w:rPr>
        <w:t>ncile comerciale participante</w:t>
      </w:r>
      <w:r w:rsidR="00D664B9" w:rsidRPr="00FC109D">
        <w:rPr>
          <w:rFonts w:ascii="Times New Roman" w:hAnsi="Times New Roman" w:cs="Times New Roman"/>
          <w:lang w:val="ro-MD"/>
        </w:rPr>
        <w:t xml:space="preserve"> a fost reevaluat</w:t>
      </w:r>
      <w:r w:rsidR="002C7C89" w:rsidRPr="00FC109D">
        <w:rPr>
          <w:rFonts w:ascii="Times New Roman" w:hAnsi="Times New Roman" w:cs="Times New Roman"/>
          <w:lang w:val="ro-MD"/>
        </w:rPr>
        <w:t>ă</w:t>
      </w:r>
      <w:r w:rsidR="00D664B9" w:rsidRPr="00FC109D">
        <w:rPr>
          <w:rFonts w:ascii="Times New Roman" w:hAnsi="Times New Roman" w:cs="Times New Roman"/>
          <w:lang w:val="ro-MD"/>
        </w:rPr>
        <w:t xml:space="preserve"> și, la moment, </w:t>
      </w:r>
      <w:r w:rsidR="00D664B9" w:rsidRPr="00FC109D">
        <w:rPr>
          <w:rFonts w:ascii="Times New Roman" w:hAnsi="Times New Roman" w:cs="Times New Roman"/>
          <w:color w:val="000000" w:themeColor="text1"/>
          <w:lang w:val="ro-MD"/>
        </w:rPr>
        <w:t>constituie</w:t>
      </w:r>
      <w:r w:rsidRPr="00FC109D">
        <w:rPr>
          <w:rFonts w:ascii="Times New Roman" w:hAnsi="Times New Roman" w:cs="Times New Roman"/>
          <w:color w:val="000000" w:themeColor="text1"/>
          <w:lang w:val="ro-MD"/>
        </w:rPr>
        <w:t xml:space="preserve"> 8%, ceea ce reprezintă </w:t>
      </w:r>
      <w:r w:rsidR="004802C6" w:rsidRPr="00FC109D">
        <w:rPr>
          <w:rFonts w:ascii="Times New Roman" w:hAnsi="Times New Roman" w:cs="Times New Roman"/>
          <w:color w:val="000000" w:themeColor="text1"/>
          <w:lang w:val="ro-MD"/>
        </w:rPr>
        <w:t xml:space="preserve">o micșorare </w:t>
      </w:r>
      <w:r w:rsidR="002C7C89" w:rsidRPr="00FC109D">
        <w:rPr>
          <w:rFonts w:ascii="Times New Roman" w:hAnsi="Times New Roman" w:cs="Times New Roman"/>
          <w:lang w:val="ro-MD"/>
        </w:rPr>
        <w:t>cu</w:t>
      </w:r>
      <w:r w:rsidR="004802C6" w:rsidRPr="00FC109D">
        <w:rPr>
          <w:rFonts w:ascii="Times New Roman" w:hAnsi="Times New Roman" w:cs="Times New Roman"/>
          <w:lang w:val="ro-MD"/>
        </w:rPr>
        <w:t xml:space="preserve"> </w:t>
      </w:r>
      <w:r w:rsidRPr="00FC109D">
        <w:rPr>
          <w:rFonts w:ascii="Times New Roman" w:hAnsi="Times New Roman" w:cs="Times New Roman"/>
          <w:lang w:val="ro-MD"/>
        </w:rPr>
        <w:t xml:space="preserve">3,0% față </w:t>
      </w:r>
      <w:r w:rsidR="00781248" w:rsidRPr="00FC109D">
        <w:rPr>
          <w:rFonts w:ascii="Times New Roman" w:hAnsi="Times New Roman" w:cs="Times New Roman"/>
          <w:lang w:val="ro-MD"/>
        </w:rPr>
        <w:t xml:space="preserve">de </w:t>
      </w:r>
      <w:r w:rsidRPr="00FC109D">
        <w:rPr>
          <w:rFonts w:ascii="Times New Roman" w:hAnsi="Times New Roman" w:cs="Times New Roman"/>
          <w:lang w:val="ro-MD"/>
        </w:rPr>
        <w:t>perioada anterioară</w:t>
      </w:r>
      <w:r w:rsidR="004802C6" w:rsidRPr="00FC109D">
        <w:rPr>
          <w:rFonts w:ascii="Times New Roman" w:hAnsi="Times New Roman" w:cs="Times New Roman"/>
          <w:lang w:val="ro-MD"/>
        </w:rPr>
        <w:t>.</w:t>
      </w:r>
    </w:p>
    <w:p w14:paraId="1253B159" w14:textId="358DDDEE" w:rsidR="003B5A1E" w:rsidRPr="00FC109D" w:rsidRDefault="004802C6" w:rsidP="002C7C89">
      <w:pPr>
        <w:jc w:val="both"/>
        <w:rPr>
          <w:rFonts w:ascii="Times New Roman" w:hAnsi="Times New Roman" w:cs="Times New Roman"/>
          <w:lang w:val="ro-MD"/>
        </w:rPr>
      </w:pPr>
      <w:r w:rsidRPr="00FC109D">
        <w:rPr>
          <w:rFonts w:ascii="Times New Roman" w:hAnsi="Times New Roman" w:cs="Times New Roman"/>
          <w:b/>
          <w:lang w:val="ro-MD"/>
        </w:rPr>
        <w:t xml:space="preserve">Rata de debursare </w:t>
      </w:r>
      <w:r w:rsidR="00CC762A" w:rsidRPr="00FC109D">
        <w:rPr>
          <w:rFonts w:ascii="Times New Roman" w:hAnsi="Times New Roman" w:cs="Times New Roman"/>
          <w:b/>
          <w:lang w:val="ro-MD"/>
        </w:rPr>
        <w:t>fondurilor alocate de Banca Mondială pentru</w:t>
      </w:r>
      <w:r w:rsidRPr="00FC109D">
        <w:rPr>
          <w:rFonts w:ascii="Times New Roman" w:hAnsi="Times New Roman" w:cs="Times New Roman"/>
          <w:b/>
          <w:lang w:val="ro-MD"/>
        </w:rPr>
        <w:t xml:space="preserve"> PAC constituie 31%.</w:t>
      </w:r>
      <w:r w:rsidRPr="00FC109D">
        <w:rPr>
          <w:rFonts w:ascii="Times New Roman" w:hAnsi="Times New Roman" w:cs="Times New Roman"/>
          <w:lang w:val="ro-MD"/>
        </w:rPr>
        <w:t xml:space="preserve"> De la mijlocul lunii octombrie, suma rambursărilor în cadrul proiectului a constituit 14,1 mil. USD sau 31,4 la sută. În baza estimărilor, până la sfârșitul lunii iunie 2017, sunt prognozate rambursări în sumă de 18,0 mil USD,</w:t>
      </w:r>
      <w:r w:rsidR="002C7C89" w:rsidRPr="00FC109D">
        <w:rPr>
          <w:rFonts w:ascii="Times New Roman" w:hAnsi="Times New Roman" w:cs="Times New Roman"/>
          <w:lang w:val="ro-MD"/>
        </w:rPr>
        <w:t xml:space="preserve"> aprox</w:t>
      </w:r>
      <w:r w:rsidRPr="00FC109D">
        <w:rPr>
          <w:rFonts w:ascii="Times New Roman" w:hAnsi="Times New Roman" w:cs="Times New Roman"/>
          <w:lang w:val="ro-MD"/>
        </w:rPr>
        <w:t>. 40% din bugetul proiectului. Tabelul de mai jos prezintă datele financiare, în ceea ce privește cheltuielile efective</w:t>
      </w:r>
      <w:r w:rsidR="00EC5974" w:rsidRPr="00FC109D">
        <w:rPr>
          <w:rFonts w:ascii="Times New Roman" w:hAnsi="Times New Roman" w:cs="Times New Roman"/>
          <w:lang w:val="ro-MD"/>
        </w:rPr>
        <w:t>, cele</w:t>
      </w:r>
      <w:r w:rsidRPr="00FC109D">
        <w:rPr>
          <w:rFonts w:ascii="Times New Roman" w:hAnsi="Times New Roman" w:cs="Times New Roman"/>
          <w:lang w:val="ro-MD"/>
        </w:rPr>
        <w:t xml:space="preserve"> </w:t>
      </w:r>
      <w:r w:rsidR="002C7C89" w:rsidRPr="00FC109D">
        <w:rPr>
          <w:rFonts w:ascii="Times New Roman" w:hAnsi="Times New Roman" w:cs="Times New Roman"/>
          <w:lang w:val="ro-MD"/>
        </w:rPr>
        <w:t>prognozate</w:t>
      </w:r>
      <w:r w:rsidR="00EC5974" w:rsidRPr="00FC109D">
        <w:rPr>
          <w:rFonts w:ascii="Times New Roman" w:hAnsi="Times New Roman" w:cs="Times New Roman"/>
          <w:lang w:val="ro-MD"/>
        </w:rPr>
        <w:t xml:space="preserve"> si </w:t>
      </w:r>
      <w:r w:rsidRPr="00FC109D">
        <w:rPr>
          <w:rFonts w:ascii="Times New Roman" w:hAnsi="Times New Roman" w:cs="Times New Roman"/>
          <w:lang w:val="ro-MD"/>
        </w:rPr>
        <w:t>angajamente</w:t>
      </w:r>
      <w:r w:rsidR="00EC5974" w:rsidRPr="00FC109D">
        <w:rPr>
          <w:rFonts w:ascii="Times New Roman" w:hAnsi="Times New Roman" w:cs="Times New Roman"/>
          <w:lang w:val="ro-MD"/>
        </w:rPr>
        <w:t>le</w:t>
      </w:r>
      <w:r w:rsidRPr="00FC109D">
        <w:rPr>
          <w:rFonts w:ascii="Times New Roman" w:hAnsi="Times New Roman" w:cs="Times New Roman"/>
          <w:lang w:val="ro-MD"/>
        </w:rPr>
        <w:t>.</w:t>
      </w:r>
    </w:p>
    <w:tbl>
      <w:tblPr>
        <w:tblW w:w="9441" w:type="dxa"/>
        <w:jc w:val="center"/>
        <w:tblCellMar>
          <w:left w:w="0" w:type="dxa"/>
          <w:right w:w="0" w:type="dxa"/>
        </w:tblCellMar>
        <w:tblLook w:val="04A0" w:firstRow="1" w:lastRow="0" w:firstColumn="1" w:lastColumn="0" w:noHBand="0" w:noVBand="1"/>
      </w:tblPr>
      <w:tblGrid>
        <w:gridCol w:w="3020"/>
        <w:gridCol w:w="1116"/>
        <w:gridCol w:w="1335"/>
        <w:gridCol w:w="1298"/>
        <w:gridCol w:w="1425"/>
        <w:gridCol w:w="1280"/>
      </w:tblGrid>
      <w:tr w:rsidR="004802C6" w:rsidRPr="00CD0ED1" w14:paraId="50453D84" w14:textId="77777777" w:rsidTr="00AA0173">
        <w:trPr>
          <w:trHeight w:val="258"/>
          <w:jc w:val="center"/>
        </w:trPr>
        <w:tc>
          <w:tcPr>
            <w:tcW w:w="6736" w:type="dxa"/>
            <w:gridSpan w:val="4"/>
            <w:tcBorders>
              <w:top w:val="nil"/>
              <w:left w:val="nil"/>
              <w:bottom w:val="single" w:sz="8" w:space="0" w:color="auto"/>
              <w:right w:val="nil"/>
            </w:tcBorders>
            <w:noWrap/>
            <w:tcMar>
              <w:top w:w="0" w:type="dxa"/>
              <w:left w:w="108" w:type="dxa"/>
              <w:bottom w:w="0" w:type="dxa"/>
              <w:right w:w="108" w:type="dxa"/>
            </w:tcMar>
            <w:vAlign w:val="center"/>
            <w:hideMark/>
          </w:tcPr>
          <w:p w14:paraId="1584F723" w14:textId="4EB0E892" w:rsidR="004802C6" w:rsidRPr="00FC109D" w:rsidRDefault="004802C6" w:rsidP="00AA0173">
            <w:pPr>
              <w:rPr>
                <w:rFonts w:ascii="Times New Roman" w:hAnsi="Times New Roman" w:cs="Times New Roman"/>
                <w:b/>
                <w:color w:val="000000"/>
                <w:sz w:val="20"/>
                <w:szCs w:val="20"/>
                <w:lang w:val="ro-MD"/>
              </w:rPr>
            </w:pPr>
            <w:r w:rsidRPr="00FC109D">
              <w:rPr>
                <w:rFonts w:ascii="Times New Roman" w:hAnsi="Times New Roman" w:cs="Times New Roman"/>
                <w:b/>
                <w:color w:val="000000"/>
                <w:sz w:val="20"/>
                <w:szCs w:val="20"/>
                <w:lang w:val="ro-MD"/>
              </w:rPr>
              <w:t xml:space="preserve">Date financiare PAC </w:t>
            </w:r>
            <w:r w:rsidRPr="00FC109D">
              <w:rPr>
                <w:rFonts w:ascii="Times New Roman" w:hAnsi="Times New Roman" w:cs="Times New Roman"/>
                <w:color w:val="000000"/>
                <w:sz w:val="20"/>
                <w:szCs w:val="20"/>
                <w:lang w:val="ro-MD"/>
              </w:rPr>
              <w:t>(</w:t>
            </w:r>
            <w:r w:rsidR="00AA0173" w:rsidRPr="00FC109D">
              <w:rPr>
                <w:rFonts w:ascii="Times New Roman" w:hAnsi="Times New Roman" w:cs="Times New Roman"/>
                <w:color w:val="000000"/>
                <w:sz w:val="20"/>
                <w:szCs w:val="20"/>
                <w:lang w:val="ro-MD"/>
              </w:rPr>
              <w:t>la 10</w:t>
            </w:r>
            <w:r w:rsidR="00EC5974" w:rsidRPr="00FC109D">
              <w:rPr>
                <w:rFonts w:ascii="Times New Roman" w:hAnsi="Times New Roman" w:cs="Times New Roman"/>
                <w:iCs/>
                <w:color w:val="000000"/>
                <w:sz w:val="20"/>
                <w:szCs w:val="20"/>
                <w:lang w:val="ro-MD"/>
              </w:rPr>
              <w:t xml:space="preserve"> o</w:t>
            </w:r>
            <w:r w:rsidRPr="00FC109D">
              <w:rPr>
                <w:rFonts w:ascii="Times New Roman" w:hAnsi="Times New Roman" w:cs="Times New Roman"/>
                <w:iCs/>
                <w:color w:val="000000"/>
                <w:sz w:val="20"/>
                <w:szCs w:val="20"/>
                <w:lang w:val="ro-MD"/>
              </w:rPr>
              <w:t>ctombrie, 2016</w:t>
            </w:r>
            <w:r w:rsidRPr="00FC109D">
              <w:rPr>
                <w:rFonts w:ascii="Times New Roman" w:hAnsi="Times New Roman" w:cs="Times New Roman"/>
                <w:color w:val="000000"/>
                <w:sz w:val="20"/>
                <w:szCs w:val="20"/>
                <w:lang w:val="ro-MD"/>
              </w:rPr>
              <w:t>)</w:t>
            </w:r>
          </w:p>
        </w:tc>
        <w:tc>
          <w:tcPr>
            <w:tcW w:w="1425" w:type="dxa"/>
            <w:noWrap/>
            <w:tcMar>
              <w:top w:w="0" w:type="dxa"/>
              <w:left w:w="108" w:type="dxa"/>
              <w:bottom w:w="0" w:type="dxa"/>
              <w:right w:w="108" w:type="dxa"/>
            </w:tcMar>
            <w:vAlign w:val="bottom"/>
            <w:hideMark/>
          </w:tcPr>
          <w:p w14:paraId="2909A639" w14:textId="77777777" w:rsidR="004802C6" w:rsidRPr="00FC109D" w:rsidRDefault="004802C6" w:rsidP="00266793">
            <w:pPr>
              <w:rPr>
                <w:rFonts w:ascii="Times New Roman" w:eastAsia="Times New Roman" w:hAnsi="Times New Roman" w:cs="Times New Roman"/>
                <w:b/>
                <w:i/>
                <w:sz w:val="20"/>
                <w:szCs w:val="20"/>
                <w:lang w:val="ro-MD"/>
              </w:rPr>
            </w:pPr>
          </w:p>
        </w:tc>
        <w:tc>
          <w:tcPr>
            <w:tcW w:w="1280" w:type="dxa"/>
            <w:noWrap/>
            <w:tcMar>
              <w:top w:w="0" w:type="dxa"/>
              <w:left w:w="108" w:type="dxa"/>
              <w:bottom w:w="0" w:type="dxa"/>
              <w:right w:w="108" w:type="dxa"/>
            </w:tcMar>
            <w:vAlign w:val="bottom"/>
            <w:hideMark/>
          </w:tcPr>
          <w:p w14:paraId="723AAE7F" w14:textId="77777777" w:rsidR="004802C6" w:rsidRPr="00FC109D" w:rsidRDefault="004802C6" w:rsidP="00266793">
            <w:pPr>
              <w:rPr>
                <w:rFonts w:ascii="Times New Roman" w:eastAsia="Times New Roman" w:hAnsi="Times New Roman" w:cs="Times New Roman"/>
                <w:b/>
                <w:i/>
                <w:sz w:val="20"/>
                <w:szCs w:val="20"/>
                <w:lang w:val="ro-MD"/>
              </w:rPr>
            </w:pPr>
          </w:p>
        </w:tc>
      </w:tr>
      <w:tr w:rsidR="004802C6" w:rsidRPr="00CD0ED1" w14:paraId="31FB0598" w14:textId="77777777" w:rsidTr="00AA0173">
        <w:trPr>
          <w:trHeight w:val="712"/>
          <w:jc w:val="center"/>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55C2B4" w14:textId="2B77D5F7" w:rsidR="004802C6" w:rsidRPr="00FC109D" w:rsidRDefault="004802C6"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Sursa de finanțare</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B2D62" w14:textId="307A510F" w:rsidR="004802C6" w:rsidRPr="00FC109D" w:rsidRDefault="004802C6"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Buget, USD</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8F911" w14:textId="1390D492" w:rsidR="004802C6" w:rsidRPr="00FC109D" w:rsidRDefault="00831F39"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De</w:t>
            </w:r>
            <w:r w:rsidR="004802C6" w:rsidRPr="00FC109D">
              <w:rPr>
                <w:rFonts w:ascii="Times New Roman" w:hAnsi="Times New Roman" w:cs="Times New Roman"/>
                <w:b/>
                <w:bCs/>
                <w:color w:val="000000"/>
                <w:sz w:val="20"/>
                <w:szCs w:val="20"/>
                <w:lang w:val="ro-MD"/>
              </w:rPr>
              <w:t>bursat, USD</w:t>
            </w: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7F3BD" w14:textId="00E57DB4" w:rsidR="004802C6" w:rsidRPr="00FC109D" w:rsidRDefault="004802C6"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Contractat, USD</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FE8F72" w14:textId="42C27E5D" w:rsidR="004802C6" w:rsidRPr="00FC109D" w:rsidRDefault="004802C6"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Cheltuieli, USD</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D1F6EF" w14:textId="12343BFA" w:rsidR="004802C6" w:rsidRPr="00FC109D" w:rsidRDefault="004802C6" w:rsidP="004802C6">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Rambursat vs. buget, %</w:t>
            </w:r>
          </w:p>
        </w:tc>
      </w:tr>
      <w:tr w:rsidR="004802C6" w:rsidRPr="00CD0ED1" w14:paraId="74B1A780" w14:textId="77777777" w:rsidTr="00AA0173">
        <w:trPr>
          <w:trHeight w:val="258"/>
          <w:jc w:val="center"/>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1258BC" w14:textId="77777777" w:rsidR="004802C6" w:rsidRPr="00FC109D" w:rsidRDefault="004802C6" w:rsidP="00266793">
            <w:pPr>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IDA Credit #5509-MD</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2E6D6" w14:textId="77777777" w:rsidR="004802C6" w:rsidRPr="00FC109D" w:rsidRDefault="004802C6" w:rsidP="00266793">
            <w:pPr>
              <w:jc w:val="right"/>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15.000.000</w:t>
            </w:r>
          </w:p>
        </w:tc>
        <w:tc>
          <w:tcPr>
            <w:tcW w:w="13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BE5E9C" w14:textId="77777777" w:rsidR="004802C6" w:rsidRPr="00FC109D" w:rsidRDefault="004802C6" w:rsidP="00266793">
            <w:pPr>
              <w:jc w:val="center"/>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3.476.702</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40495C" w14:textId="77777777" w:rsidR="004802C6" w:rsidRPr="00FC109D" w:rsidRDefault="004802C6" w:rsidP="00266793">
            <w:pPr>
              <w:jc w:val="center"/>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3.680.086</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B1B38" w14:textId="77777777" w:rsidR="004802C6" w:rsidRPr="00FC109D" w:rsidRDefault="004802C6" w:rsidP="00266793">
            <w:pPr>
              <w:jc w:val="center"/>
              <w:rPr>
                <w:rFonts w:ascii="Times New Roman" w:hAnsi="Times New Roman" w:cs="Times New Roman"/>
                <w:sz w:val="20"/>
                <w:szCs w:val="20"/>
                <w:lang w:val="ro-MD"/>
              </w:rPr>
            </w:pPr>
            <w:r w:rsidRPr="00FC109D">
              <w:rPr>
                <w:rFonts w:ascii="Times New Roman" w:hAnsi="Times New Roman" w:cs="Times New Roman"/>
                <w:sz w:val="20"/>
                <w:szCs w:val="20"/>
                <w:lang w:val="ro-MD"/>
              </w:rPr>
              <w:t>2.975.861</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603A84" w14:textId="77777777" w:rsidR="004802C6" w:rsidRPr="00FC109D" w:rsidRDefault="004802C6" w:rsidP="00266793">
            <w:pPr>
              <w:jc w:val="center"/>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23,2</w:t>
            </w:r>
          </w:p>
        </w:tc>
      </w:tr>
      <w:tr w:rsidR="004802C6" w:rsidRPr="00CD0ED1" w14:paraId="2641507C" w14:textId="77777777" w:rsidTr="00AA0173">
        <w:trPr>
          <w:trHeight w:val="258"/>
          <w:jc w:val="center"/>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73D9A0" w14:textId="77777777" w:rsidR="004802C6" w:rsidRPr="00FC109D" w:rsidRDefault="004802C6" w:rsidP="00266793">
            <w:pPr>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 xml:space="preserve">IBRD </w:t>
            </w:r>
            <w:proofErr w:type="spellStart"/>
            <w:r w:rsidRPr="00FC109D">
              <w:rPr>
                <w:rFonts w:ascii="Times New Roman" w:hAnsi="Times New Roman" w:cs="Times New Roman"/>
                <w:color w:val="000000"/>
                <w:sz w:val="20"/>
                <w:szCs w:val="20"/>
                <w:lang w:val="ro-MD"/>
              </w:rPr>
              <w:t>Loan</w:t>
            </w:r>
            <w:proofErr w:type="spellEnd"/>
            <w:r w:rsidRPr="00FC109D">
              <w:rPr>
                <w:rFonts w:ascii="Times New Roman" w:hAnsi="Times New Roman" w:cs="Times New Roman"/>
                <w:color w:val="000000"/>
                <w:sz w:val="20"/>
                <w:szCs w:val="20"/>
                <w:lang w:val="ro-MD"/>
              </w:rPr>
              <w:t xml:space="preserve"> #8400-MD</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70C058" w14:textId="77777777" w:rsidR="004802C6" w:rsidRPr="00FC109D" w:rsidRDefault="004802C6" w:rsidP="00266793">
            <w:pPr>
              <w:jc w:val="right"/>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30.000.000</w:t>
            </w:r>
          </w:p>
        </w:tc>
        <w:tc>
          <w:tcPr>
            <w:tcW w:w="13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8FB50E" w14:textId="77777777" w:rsidR="004802C6" w:rsidRPr="00FC109D" w:rsidRDefault="004802C6" w:rsidP="00266793">
            <w:pPr>
              <w:jc w:val="center"/>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10.640.615</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19FB1" w14:textId="77777777" w:rsidR="004802C6" w:rsidRPr="00FC109D" w:rsidRDefault="004802C6" w:rsidP="00266793">
            <w:pPr>
              <w:jc w:val="center"/>
              <w:rPr>
                <w:rFonts w:ascii="Times New Roman" w:hAnsi="Times New Roman" w:cs="Times New Roman"/>
                <w:sz w:val="20"/>
                <w:szCs w:val="20"/>
                <w:lang w:val="ro-MD"/>
              </w:rPr>
            </w:pPr>
            <w:r w:rsidRPr="00FC109D">
              <w:rPr>
                <w:rFonts w:ascii="Times New Roman" w:hAnsi="Times New Roman" w:cs="Times New Roman"/>
                <w:sz w:val="20"/>
                <w:szCs w:val="20"/>
                <w:lang w:val="ro-MD"/>
              </w:rPr>
              <w:t>9.290.065</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F83FB0" w14:textId="77777777" w:rsidR="004802C6" w:rsidRPr="00FC109D" w:rsidRDefault="004802C6" w:rsidP="00266793">
            <w:pPr>
              <w:jc w:val="center"/>
              <w:rPr>
                <w:rFonts w:ascii="Times New Roman" w:hAnsi="Times New Roman" w:cs="Times New Roman"/>
                <w:color w:val="000000"/>
                <w:sz w:val="20"/>
                <w:szCs w:val="20"/>
                <w:highlight w:val="yellow"/>
                <w:lang w:val="ro-MD"/>
              </w:rPr>
            </w:pPr>
            <w:r w:rsidRPr="00FC109D">
              <w:rPr>
                <w:rFonts w:ascii="Times New Roman" w:hAnsi="Times New Roman" w:cs="Times New Roman"/>
                <w:color w:val="000000"/>
                <w:sz w:val="20"/>
                <w:szCs w:val="20"/>
                <w:lang w:val="ro-MD"/>
              </w:rPr>
              <w:t>9.142.155</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B01C7A" w14:textId="77777777" w:rsidR="004802C6" w:rsidRPr="00FC109D" w:rsidRDefault="004802C6" w:rsidP="00266793">
            <w:pPr>
              <w:jc w:val="center"/>
              <w:rPr>
                <w:rFonts w:ascii="Times New Roman" w:hAnsi="Times New Roman" w:cs="Times New Roman"/>
                <w:color w:val="000000"/>
                <w:sz w:val="20"/>
                <w:szCs w:val="20"/>
                <w:highlight w:val="yellow"/>
                <w:lang w:val="ro-MD"/>
              </w:rPr>
            </w:pPr>
            <w:r w:rsidRPr="00FC109D">
              <w:rPr>
                <w:rFonts w:ascii="Times New Roman" w:hAnsi="Times New Roman" w:cs="Times New Roman"/>
                <w:color w:val="000000"/>
                <w:sz w:val="20"/>
                <w:szCs w:val="20"/>
                <w:lang w:val="ro-MD"/>
              </w:rPr>
              <w:t>35,5</w:t>
            </w:r>
          </w:p>
        </w:tc>
      </w:tr>
      <w:tr w:rsidR="004802C6" w:rsidRPr="00CD0ED1" w14:paraId="60D02E62" w14:textId="77777777" w:rsidTr="00AA0173">
        <w:trPr>
          <w:trHeight w:val="258"/>
          <w:jc w:val="center"/>
        </w:trPr>
        <w:tc>
          <w:tcPr>
            <w:tcW w:w="3020" w:type="dxa"/>
            <w:tcBorders>
              <w:top w:val="nil"/>
              <w:left w:val="single" w:sz="8" w:space="0" w:color="auto"/>
              <w:bottom w:val="single" w:sz="8" w:space="0" w:color="auto"/>
              <w:right w:val="single" w:sz="8" w:space="0" w:color="auto"/>
            </w:tcBorders>
            <w:shd w:val="clear" w:color="auto" w:fill="B6DDE8"/>
            <w:noWrap/>
            <w:tcMar>
              <w:top w:w="0" w:type="dxa"/>
              <w:left w:w="108" w:type="dxa"/>
              <w:bottom w:w="0" w:type="dxa"/>
              <w:right w:w="108" w:type="dxa"/>
            </w:tcMar>
            <w:vAlign w:val="center"/>
            <w:hideMark/>
          </w:tcPr>
          <w:p w14:paraId="32B9688F" w14:textId="77777777" w:rsidR="004802C6" w:rsidRPr="00FC109D" w:rsidRDefault="004802C6" w:rsidP="00266793">
            <w:pP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Total, USD</w:t>
            </w:r>
          </w:p>
        </w:tc>
        <w:tc>
          <w:tcPr>
            <w:tcW w:w="1083" w:type="dxa"/>
            <w:tcBorders>
              <w:top w:val="nil"/>
              <w:left w:val="nil"/>
              <w:bottom w:val="single" w:sz="8" w:space="0" w:color="auto"/>
              <w:right w:val="single" w:sz="8" w:space="0" w:color="auto"/>
            </w:tcBorders>
            <w:shd w:val="clear" w:color="auto" w:fill="B6DDE8"/>
            <w:noWrap/>
            <w:tcMar>
              <w:top w:w="0" w:type="dxa"/>
              <w:left w:w="108" w:type="dxa"/>
              <w:bottom w:w="0" w:type="dxa"/>
              <w:right w:w="108" w:type="dxa"/>
            </w:tcMar>
            <w:vAlign w:val="center"/>
            <w:hideMark/>
          </w:tcPr>
          <w:p w14:paraId="0DED02AE" w14:textId="77777777" w:rsidR="004802C6" w:rsidRPr="00FC109D" w:rsidRDefault="004802C6" w:rsidP="00266793">
            <w:pPr>
              <w:jc w:val="right"/>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45.000.000</w:t>
            </w:r>
          </w:p>
        </w:tc>
        <w:tc>
          <w:tcPr>
            <w:tcW w:w="1335" w:type="dxa"/>
            <w:tcBorders>
              <w:top w:val="nil"/>
              <w:left w:val="nil"/>
              <w:bottom w:val="single" w:sz="8" w:space="0" w:color="auto"/>
              <w:right w:val="single" w:sz="8" w:space="0" w:color="auto"/>
            </w:tcBorders>
            <w:shd w:val="clear" w:color="auto" w:fill="B6DDE8"/>
            <w:noWrap/>
            <w:tcMar>
              <w:top w:w="0" w:type="dxa"/>
              <w:left w:w="108" w:type="dxa"/>
              <w:bottom w:w="0" w:type="dxa"/>
              <w:right w:w="108" w:type="dxa"/>
            </w:tcMar>
            <w:vAlign w:val="center"/>
            <w:hideMark/>
          </w:tcPr>
          <w:p w14:paraId="588C80AF" w14:textId="77777777" w:rsidR="004802C6" w:rsidRPr="00FC109D" w:rsidRDefault="004802C6"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14.116.317</w:t>
            </w:r>
          </w:p>
        </w:tc>
        <w:tc>
          <w:tcPr>
            <w:tcW w:w="1298" w:type="dxa"/>
            <w:tcBorders>
              <w:top w:val="nil"/>
              <w:left w:val="nil"/>
              <w:bottom w:val="single" w:sz="8" w:space="0" w:color="auto"/>
              <w:right w:val="single" w:sz="8" w:space="0" w:color="auto"/>
            </w:tcBorders>
            <w:shd w:val="clear" w:color="auto" w:fill="B6DDE8"/>
            <w:noWrap/>
            <w:tcMar>
              <w:top w:w="0" w:type="dxa"/>
              <w:left w:w="108" w:type="dxa"/>
              <w:bottom w:w="0" w:type="dxa"/>
              <w:right w:w="108" w:type="dxa"/>
            </w:tcMar>
            <w:vAlign w:val="center"/>
            <w:hideMark/>
          </w:tcPr>
          <w:p w14:paraId="2131B19D" w14:textId="77777777" w:rsidR="004802C6" w:rsidRPr="00FC109D" w:rsidRDefault="004802C6"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12.970.151</w:t>
            </w:r>
          </w:p>
        </w:tc>
        <w:tc>
          <w:tcPr>
            <w:tcW w:w="1425" w:type="dxa"/>
            <w:tcBorders>
              <w:top w:val="nil"/>
              <w:left w:val="nil"/>
              <w:bottom w:val="single" w:sz="8" w:space="0" w:color="auto"/>
              <w:right w:val="single" w:sz="8" w:space="0" w:color="auto"/>
            </w:tcBorders>
            <w:shd w:val="clear" w:color="auto" w:fill="B6DDE8"/>
            <w:noWrap/>
            <w:tcMar>
              <w:top w:w="0" w:type="dxa"/>
              <w:left w:w="108" w:type="dxa"/>
              <w:bottom w:w="0" w:type="dxa"/>
              <w:right w:w="108" w:type="dxa"/>
            </w:tcMar>
            <w:vAlign w:val="center"/>
            <w:hideMark/>
          </w:tcPr>
          <w:p w14:paraId="0A778711" w14:textId="77777777" w:rsidR="004802C6" w:rsidRPr="00FC109D" w:rsidRDefault="004802C6" w:rsidP="00266793">
            <w:pPr>
              <w:jc w:val="center"/>
              <w:rPr>
                <w:rFonts w:ascii="Times New Roman" w:hAnsi="Times New Roman" w:cs="Times New Roman"/>
                <w:b/>
                <w:bCs/>
                <w:sz w:val="20"/>
                <w:szCs w:val="20"/>
                <w:lang w:val="ro-MD"/>
              </w:rPr>
            </w:pPr>
            <w:r w:rsidRPr="00FC109D">
              <w:rPr>
                <w:rFonts w:ascii="Times New Roman" w:hAnsi="Times New Roman" w:cs="Times New Roman"/>
                <w:b/>
                <w:bCs/>
                <w:sz w:val="20"/>
                <w:szCs w:val="20"/>
                <w:lang w:val="ro-MD"/>
              </w:rPr>
              <w:t>12.117.857</w:t>
            </w:r>
          </w:p>
        </w:tc>
        <w:tc>
          <w:tcPr>
            <w:tcW w:w="1280" w:type="dxa"/>
            <w:tcBorders>
              <w:top w:val="nil"/>
              <w:left w:val="nil"/>
              <w:bottom w:val="single" w:sz="8" w:space="0" w:color="auto"/>
              <w:right w:val="single" w:sz="8" w:space="0" w:color="auto"/>
            </w:tcBorders>
            <w:shd w:val="clear" w:color="auto" w:fill="B7DEE8"/>
            <w:noWrap/>
            <w:tcMar>
              <w:top w:w="0" w:type="dxa"/>
              <w:left w:w="108" w:type="dxa"/>
              <w:bottom w:w="0" w:type="dxa"/>
              <w:right w:w="108" w:type="dxa"/>
            </w:tcMar>
            <w:vAlign w:val="center"/>
            <w:hideMark/>
          </w:tcPr>
          <w:p w14:paraId="26853F0A" w14:textId="77777777" w:rsidR="004802C6" w:rsidRPr="00FC109D" w:rsidRDefault="004802C6"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31,4</w:t>
            </w:r>
          </w:p>
        </w:tc>
      </w:tr>
      <w:tr w:rsidR="004802C6" w:rsidRPr="00CD0ED1" w14:paraId="44EB2E7D" w14:textId="77777777" w:rsidTr="00AA0173">
        <w:trPr>
          <w:trHeight w:val="148"/>
          <w:jc w:val="center"/>
        </w:trPr>
        <w:tc>
          <w:tcPr>
            <w:tcW w:w="3020" w:type="dxa"/>
            <w:tcBorders>
              <w:top w:val="nil"/>
              <w:left w:val="single" w:sz="8" w:space="0" w:color="auto"/>
              <w:bottom w:val="single" w:sz="8" w:space="0" w:color="auto"/>
              <w:right w:val="single" w:sz="8" w:space="0" w:color="auto"/>
            </w:tcBorders>
            <w:shd w:val="clear" w:color="auto" w:fill="FBD4B4"/>
            <w:noWrap/>
            <w:tcMar>
              <w:top w:w="0" w:type="dxa"/>
              <w:left w:w="108" w:type="dxa"/>
              <w:bottom w:w="0" w:type="dxa"/>
              <w:right w:w="108" w:type="dxa"/>
            </w:tcMar>
            <w:vAlign w:val="bottom"/>
            <w:hideMark/>
          </w:tcPr>
          <w:p w14:paraId="2D9057F2" w14:textId="0D96CE03" w:rsidR="004802C6" w:rsidRPr="00FC109D" w:rsidRDefault="004802C6" w:rsidP="00F531B2">
            <w:pPr>
              <w:jc w:val="center"/>
              <w:rPr>
                <w:rFonts w:ascii="Times New Roman" w:hAnsi="Times New Roman" w:cs="Times New Roman"/>
                <w:b/>
                <w:bCs/>
                <w:color w:val="FF0000"/>
                <w:sz w:val="20"/>
                <w:szCs w:val="20"/>
                <w:lang w:val="ro-MD"/>
              </w:rPr>
            </w:pPr>
            <w:r w:rsidRPr="00FC109D">
              <w:rPr>
                <w:rFonts w:ascii="Times New Roman" w:hAnsi="Times New Roman" w:cs="Times New Roman"/>
                <w:b/>
                <w:bCs/>
                <w:color w:val="FF0000"/>
                <w:sz w:val="20"/>
                <w:szCs w:val="20"/>
                <w:lang w:val="ro-MD"/>
              </w:rPr>
              <w:t xml:space="preserve">Prognoza, USD </w:t>
            </w:r>
            <w:r w:rsidRPr="00FC109D">
              <w:rPr>
                <w:rFonts w:ascii="Times New Roman" w:hAnsi="Times New Roman" w:cs="Times New Roman"/>
                <w:color w:val="FF0000"/>
                <w:sz w:val="20"/>
                <w:szCs w:val="20"/>
                <w:lang w:val="ro-MD"/>
              </w:rPr>
              <w:t>(</w:t>
            </w:r>
            <w:r w:rsidR="00151A45" w:rsidRPr="00FC109D">
              <w:rPr>
                <w:rFonts w:ascii="Times New Roman" w:hAnsi="Times New Roman" w:cs="Times New Roman"/>
                <w:color w:val="FF0000"/>
                <w:sz w:val="20"/>
                <w:szCs w:val="20"/>
                <w:lang w:val="ro-MD"/>
              </w:rPr>
              <w:t xml:space="preserve">la </w:t>
            </w:r>
            <w:r w:rsidRPr="00FC109D">
              <w:rPr>
                <w:rFonts w:ascii="Times New Roman" w:hAnsi="Times New Roman" w:cs="Times New Roman"/>
                <w:color w:val="FF0000"/>
                <w:sz w:val="20"/>
                <w:szCs w:val="20"/>
                <w:lang w:val="ro-MD"/>
              </w:rPr>
              <w:t>30.06.2017)</w:t>
            </w:r>
          </w:p>
        </w:tc>
        <w:tc>
          <w:tcPr>
            <w:tcW w:w="2418" w:type="dxa"/>
            <w:gridSpan w:val="2"/>
            <w:tcBorders>
              <w:top w:val="nil"/>
              <w:left w:val="nil"/>
              <w:bottom w:val="single" w:sz="8" w:space="0" w:color="auto"/>
              <w:right w:val="single" w:sz="8" w:space="0" w:color="auto"/>
            </w:tcBorders>
            <w:shd w:val="clear" w:color="auto" w:fill="FBD4B4"/>
            <w:noWrap/>
            <w:tcMar>
              <w:top w:w="0" w:type="dxa"/>
              <w:left w:w="108" w:type="dxa"/>
              <w:bottom w:w="0" w:type="dxa"/>
              <w:right w:w="108" w:type="dxa"/>
            </w:tcMar>
            <w:vAlign w:val="bottom"/>
            <w:hideMark/>
          </w:tcPr>
          <w:p w14:paraId="158A9970" w14:textId="77777777" w:rsidR="004802C6" w:rsidRPr="00FC109D" w:rsidRDefault="004802C6" w:rsidP="00266793">
            <w:pPr>
              <w:jc w:val="center"/>
              <w:rPr>
                <w:rFonts w:ascii="Times New Roman" w:hAnsi="Times New Roman" w:cs="Times New Roman"/>
                <w:b/>
                <w:bCs/>
                <w:color w:val="FF0000"/>
                <w:sz w:val="20"/>
                <w:szCs w:val="20"/>
                <w:lang w:val="ro-MD"/>
              </w:rPr>
            </w:pPr>
            <w:r w:rsidRPr="00FC109D">
              <w:rPr>
                <w:rFonts w:ascii="Times New Roman" w:hAnsi="Times New Roman" w:cs="Times New Roman"/>
                <w:b/>
                <w:bCs/>
                <w:color w:val="FF0000"/>
                <w:sz w:val="20"/>
                <w:szCs w:val="20"/>
                <w:lang w:val="ro-MD"/>
              </w:rPr>
              <w:t>18.000.000</w:t>
            </w:r>
          </w:p>
        </w:tc>
        <w:tc>
          <w:tcPr>
            <w:tcW w:w="1298" w:type="dxa"/>
            <w:tcBorders>
              <w:top w:val="nil"/>
              <w:left w:val="nil"/>
              <w:bottom w:val="single" w:sz="8" w:space="0" w:color="auto"/>
              <w:right w:val="single" w:sz="8" w:space="0" w:color="auto"/>
            </w:tcBorders>
            <w:shd w:val="clear" w:color="auto" w:fill="FBD4B4"/>
            <w:noWrap/>
            <w:tcMar>
              <w:top w:w="0" w:type="dxa"/>
              <w:left w:w="108" w:type="dxa"/>
              <w:bottom w:w="0" w:type="dxa"/>
              <w:right w:w="108" w:type="dxa"/>
            </w:tcMar>
            <w:vAlign w:val="center"/>
            <w:hideMark/>
          </w:tcPr>
          <w:p w14:paraId="012D0BD9" w14:textId="77777777" w:rsidR="004802C6" w:rsidRPr="00FC109D" w:rsidRDefault="004802C6" w:rsidP="00266793">
            <w:pPr>
              <w:jc w:val="center"/>
              <w:rPr>
                <w:rFonts w:ascii="Times New Roman" w:hAnsi="Times New Roman" w:cs="Times New Roman"/>
                <w:color w:val="000000"/>
                <w:sz w:val="20"/>
                <w:szCs w:val="20"/>
                <w:lang w:val="ro-MD"/>
              </w:rPr>
            </w:pPr>
          </w:p>
        </w:tc>
        <w:tc>
          <w:tcPr>
            <w:tcW w:w="1425" w:type="dxa"/>
            <w:tcBorders>
              <w:top w:val="nil"/>
              <w:left w:val="nil"/>
              <w:bottom w:val="single" w:sz="8" w:space="0" w:color="auto"/>
              <w:right w:val="single" w:sz="8" w:space="0" w:color="auto"/>
            </w:tcBorders>
            <w:shd w:val="clear" w:color="auto" w:fill="FBD4B4"/>
            <w:noWrap/>
            <w:tcMar>
              <w:top w:w="0" w:type="dxa"/>
              <w:left w:w="108" w:type="dxa"/>
              <w:bottom w:w="0" w:type="dxa"/>
              <w:right w:w="108" w:type="dxa"/>
            </w:tcMar>
            <w:vAlign w:val="center"/>
            <w:hideMark/>
          </w:tcPr>
          <w:p w14:paraId="382C331D" w14:textId="77777777" w:rsidR="004802C6" w:rsidRPr="00FC109D" w:rsidRDefault="004802C6" w:rsidP="00266793">
            <w:pPr>
              <w:jc w:val="center"/>
              <w:rPr>
                <w:rFonts w:ascii="Times New Roman" w:hAnsi="Times New Roman" w:cs="Times New Roman"/>
                <w:color w:val="000000"/>
                <w:sz w:val="20"/>
                <w:szCs w:val="20"/>
                <w:lang w:val="ro-MD"/>
              </w:rPr>
            </w:pPr>
            <w:r w:rsidRPr="00FC109D">
              <w:rPr>
                <w:rFonts w:ascii="Times New Roman" w:hAnsi="Times New Roman" w:cs="Times New Roman"/>
                <w:color w:val="000000"/>
                <w:sz w:val="20"/>
                <w:szCs w:val="20"/>
                <w:lang w:val="ro-MD"/>
              </w:rPr>
              <w:t> </w:t>
            </w:r>
          </w:p>
        </w:tc>
        <w:tc>
          <w:tcPr>
            <w:tcW w:w="1280" w:type="dxa"/>
            <w:tcBorders>
              <w:top w:val="nil"/>
              <w:left w:val="nil"/>
              <w:bottom w:val="single" w:sz="8" w:space="0" w:color="auto"/>
              <w:right w:val="single" w:sz="8" w:space="0" w:color="auto"/>
            </w:tcBorders>
            <w:shd w:val="clear" w:color="auto" w:fill="FBD4B4"/>
            <w:noWrap/>
            <w:tcMar>
              <w:top w:w="0" w:type="dxa"/>
              <w:left w:w="108" w:type="dxa"/>
              <w:bottom w:w="0" w:type="dxa"/>
              <w:right w:w="108" w:type="dxa"/>
            </w:tcMar>
            <w:vAlign w:val="center"/>
            <w:hideMark/>
          </w:tcPr>
          <w:p w14:paraId="12B1AA9E" w14:textId="77777777" w:rsidR="004802C6" w:rsidRPr="00FC109D" w:rsidRDefault="004802C6" w:rsidP="00266793">
            <w:pPr>
              <w:jc w:val="center"/>
              <w:rPr>
                <w:rFonts w:ascii="Times New Roman" w:hAnsi="Times New Roman" w:cs="Times New Roman"/>
                <w:b/>
                <w:bCs/>
                <w:color w:val="000000"/>
                <w:sz w:val="20"/>
                <w:szCs w:val="20"/>
                <w:lang w:val="ro-MD"/>
              </w:rPr>
            </w:pPr>
            <w:r w:rsidRPr="00FC109D">
              <w:rPr>
                <w:rFonts w:ascii="Times New Roman" w:hAnsi="Times New Roman" w:cs="Times New Roman"/>
                <w:b/>
                <w:bCs/>
                <w:color w:val="000000"/>
                <w:sz w:val="20"/>
                <w:szCs w:val="20"/>
                <w:lang w:val="ro-MD"/>
              </w:rPr>
              <w:t> </w:t>
            </w:r>
          </w:p>
        </w:tc>
      </w:tr>
    </w:tbl>
    <w:p w14:paraId="55E0176D" w14:textId="020E3FB7" w:rsidR="00C432A0" w:rsidRPr="00FC109D" w:rsidRDefault="00C432A0" w:rsidP="00C432A0">
      <w:pPr>
        <w:shd w:val="clear" w:color="auto" w:fill="BDD6EE" w:themeFill="accent1" w:themeFillTint="66"/>
        <w:spacing w:after="0"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RAPORTUL DE MONITORIZARE ȘI EVALUARE Componenta Granturi (MGF)</w:t>
      </w:r>
    </w:p>
    <w:p w14:paraId="10EF995A" w14:textId="77777777" w:rsidR="00C432A0" w:rsidRPr="00FC109D" w:rsidRDefault="00C432A0" w:rsidP="00C432A0">
      <w:pPr>
        <w:spacing w:line="276" w:lineRule="auto"/>
        <w:rPr>
          <w:rFonts w:ascii="Times New Roman" w:hAnsi="Times New Roman" w:cs="Times New Roman"/>
          <w:sz w:val="24"/>
          <w:szCs w:val="24"/>
          <w:lang w:val="ro-MD"/>
        </w:rPr>
      </w:pPr>
    </w:p>
    <w:p w14:paraId="52DAC29F" w14:textId="58FE3D50" w:rsidR="00C432A0" w:rsidRPr="00FC109D" w:rsidRDefault="00F976E1"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xml:space="preserve">De la lansarea </w:t>
      </w:r>
      <w:r w:rsidR="00C432A0" w:rsidRPr="00FC109D">
        <w:rPr>
          <w:rFonts w:ascii="Times New Roman" w:hAnsi="Times New Roman" w:cs="Times New Roman"/>
          <w:sz w:val="24"/>
          <w:szCs w:val="24"/>
          <w:lang w:val="ro-MD"/>
        </w:rPr>
        <w:t xml:space="preserve">sub-componentei de granturi,  până </w:t>
      </w:r>
      <w:r w:rsidRPr="00FC109D">
        <w:rPr>
          <w:rFonts w:ascii="Times New Roman" w:hAnsi="Times New Roman" w:cs="Times New Roman"/>
          <w:sz w:val="24"/>
          <w:szCs w:val="24"/>
          <w:lang w:val="ro-MD"/>
        </w:rPr>
        <w:t>în prezent</w:t>
      </w:r>
      <w:r w:rsidR="00C432A0" w:rsidRPr="00FC109D">
        <w:rPr>
          <w:rFonts w:ascii="Times New Roman" w:hAnsi="Times New Roman" w:cs="Times New Roman"/>
          <w:sz w:val="24"/>
          <w:szCs w:val="24"/>
          <w:lang w:val="ro-MD"/>
        </w:rPr>
        <w:t xml:space="preserve">, </w:t>
      </w:r>
      <w:r w:rsidRPr="00FC109D">
        <w:rPr>
          <w:rFonts w:ascii="Times New Roman" w:hAnsi="Times New Roman" w:cs="Times New Roman"/>
          <w:sz w:val="24"/>
          <w:szCs w:val="24"/>
          <w:lang w:val="ro-MD"/>
        </w:rPr>
        <w:t xml:space="preserve">au fost înregistrate și evaluate </w:t>
      </w:r>
      <w:r w:rsidR="00C432A0" w:rsidRPr="00FC109D">
        <w:rPr>
          <w:rFonts w:ascii="Times New Roman" w:hAnsi="Times New Roman" w:cs="Times New Roman"/>
          <w:sz w:val="24"/>
          <w:szCs w:val="24"/>
          <w:lang w:val="ro-MD"/>
        </w:rPr>
        <w:t>55 solicitări de grant</w:t>
      </w:r>
      <w:r w:rsidRPr="00FC109D">
        <w:rPr>
          <w:rFonts w:ascii="Times New Roman" w:hAnsi="Times New Roman" w:cs="Times New Roman"/>
          <w:sz w:val="24"/>
          <w:szCs w:val="24"/>
          <w:lang w:val="ro-MD"/>
        </w:rPr>
        <w:t xml:space="preserve">, procesul </w:t>
      </w:r>
      <w:r w:rsidR="00C432A0" w:rsidRPr="00FC109D">
        <w:rPr>
          <w:rFonts w:ascii="Times New Roman" w:hAnsi="Times New Roman" w:cs="Times New Roman"/>
          <w:sz w:val="24"/>
          <w:szCs w:val="24"/>
          <w:lang w:val="ro-MD"/>
        </w:rPr>
        <w:t>de evaluare desfășur</w:t>
      </w:r>
      <w:r w:rsidRPr="00FC109D">
        <w:rPr>
          <w:rFonts w:ascii="Times New Roman" w:hAnsi="Times New Roman" w:cs="Times New Roman"/>
          <w:sz w:val="24"/>
          <w:szCs w:val="24"/>
          <w:lang w:val="ro-MD"/>
        </w:rPr>
        <w:t>ându-se</w:t>
      </w:r>
      <w:r w:rsidR="00C432A0" w:rsidRPr="00FC109D">
        <w:rPr>
          <w:rFonts w:ascii="Times New Roman" w:hAnsi="Times New Roman" w:cs="Times New Roman"/>
          <w:sz w:val="24"/>
          <w:szCs w:val="24"/>
          <w:lang w:val="ro-MD"/>
        </w:rPr>
        <w:t xml:space="preserve"> în două etape: evaluarea </w:t>
      </w:r>
      <w:r w:rsidRPr="00FC109D">
        <w:rPr>
          <w:rFonts w:ascii="Times New Roman" w:hAnsi="Times New Roman" w:cs="Times New Roman"/>
          <w:sz w:val="24"/>
          <w:szCs w:val="24"/>
          <w:lang w:val="ro-MD"/>
        </w:rPr>
        <w:t xml:space="preserve">dosarelor de către </w:t>
      </w:r>
      <w:r w:rsidR="00C432A0" w:rsidRPr="00FC109D">
        <w:rPr>
          <w:rFonts w:ascii="Times New Roman" w:hAnsi="Times New Roman" w:cs="Times New Roman"/>
          <w:sz w:val="24"/>
          <w:szCs w:val="24"/>
          <w:lang w:val="ro-MD"/>
        </w:rPr>
        <w:t xml:space="preserve">comitetul tehnic și de </w:t>
      </w:r>
      <w:r w:rsidRPr="00FC109D">
        <w:rPr>
          <w:rFonts w:ascii="Times New Roman" w:hAnsi="Times New Roman" w:cs="Times New Roman"/>
          <w:sz w:val="24"/>
          <w:szCs w:val="24"/>
          <w:lang w:val="ro-MD"/>
        </w:rPr>
        <w:t xml:space="preserve">către cel de </w:t>
      </w:r>
      <w:r w:rsidR="00C432A0" w:rsidRPr="00FC109D">
        <w:rPr>
          <w:rFonts w:ascii="Times New Roman" w:hAnsi="Times New Roman" w:cs="Times New Roman"/>
          <w:sz w:val="24"/>
          <w:szCs w:val="24"/>
          <w:lang w:val="ro-MD"/>
        </w:rPr>
        <w:t xml:space="preserve">validare. Drept rezultat, 43 de cereri au fost aprobate, 6 sunt în examinare și </w:t>
      </w:r>
      <w:r w:rsidRPr="00FC109D">
        <w:rPr>
          <w:rFonts w:ascii="Times New Roman" w:hAnsi="Times New Roman" w:cs="Times New Roman"/>
          <w:sz w:val="24"/>
          <w:szCs w:val="24"/>
          <w:lang w:val="ro-MD"/>
        </w:rPr>
        <w:t xml:space="preserve">alte </w:t>
      </w:r>
      <w:r w:rsidR="00C432A0" w:rsidRPr="00FC109D">
        <w:rPr>
          <w:rFonts w:ascii="Times New Roman" w:hAnsi="Times New Roman" w:cs="Times New Roman"/>
          <w:sz w:val="24"/>
          <w:szCs w:val="24"/>
          <w:lang w:val="ro-MD"/>
        </w:rPr>
        <w:t>6 solicitări au fost respinse din cauza următoarelor motive:</w:t>
      </w:r>
    </w:p>
    <w:p w14:paraId="2D693F0E" w14:textId="77777777" w:rsidR="00C432A0" w:rsidRPr="00FC109D" w:rsidRDefault="00C432A0" w:rsidP="00C432A0">
      <w:pPr>
        <w:spacing w:after="120"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Servicii neeligibile și nejustificate pentru dezvoltarea activităților de export;</w:t>
      </w:r>
    </w:p>
    <w:p w14:paraId="39A4C824" w14:textId="77777777" w:rsidR="00C432A0" w:rsidRPr="00FC109D" w:rsidRDefault="00C432A0" w:rsidP="00C432A0">
      <w:pPr>
        <w:spacing w:after="120"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Necorespunderea</w:t>
      </w:r>
      <w:r w:rsidRPr="00FC109D">
        <w:rPr>
          <w:rStyle w:val="FootnoteReference"/>
          <w:rFonts w:ascii="Times New Roman" w:hAnsi="Times New Roman" w:cs="Times New Roman"/>
          <w:sz w:val="24"/>
          <w:szCs w:val="24"/>
          <w:lang w:val="ro-MD"/>
        </w:rPr>
        <w:footnoteReference w:id="1"/>
      </w:r>
      <w:r w:rsidRPr="00FC109D">
        <w:rPr>
          <w:rFonts w:ascii="Times New Roman" w:hAnsi="Times New Roman" w:cs="Times New Roman"/>
          <w:sz w:val="24"/>
          <w:szCs w:val="24"/>
          <w:lang w:val="ro-MD"/>
        </w:rPr>
        <w:t xml:space="preserve"> cu Legea cu privire la IMM-uri;</w:t>
      </w:r>
    </w:p>
    <w:p w14:paraId="019ECE92" w14:textId="77777777" w:rsidR="00C432A0" w:rsidRPr="00FC109D" w:rsidRDefault="00C432A0" w:rsidP="00C432A0">
      <w:pPr>
        <w:spacing w:after="120"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Impactul negativ asupra mediului.</w:t>
      </w:r>
    </w:p>
    <w:p w14:paraId="44676113"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sz w:val="24"/>
          <w:szCs w:val="24"/>
          <w:lang w:val="ro-MD"/>
        </w:rPr>
        <w:lastRenderedPageBreak/>
        <w:t>Figura 1. Distribuirea solicitărilor de grant după statut</w:t>
      </w:r>
      <w:r w:rsidRPr="00FC109D">
        <w:rPr>
          <w:rFonts w:ascii="Times New Roman" w:hAnsi="Times New Roman" w:cs="Times New Roman"/>
          <w:sz w:val="24"/>
          <w:szCs w:val="24"/>
          <w:lang w:val="ro-MD"/>
        </w:rPr>
        <w:t xml:space="preserve">   </w:t>
      </w:r>
    </w:p>
    <w:p w14:paraId="4D03EBEC"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noProof/>
          <w:sz w:val="24"/>
          <w:szCs w:val="24"/>
          <w:lang w:eastAsia="ro-RO"/>
        </w:rPr>
        <w:drawing>
          <wp:anchor distT="0" distB="0" distL="114300" distR="114300" simplePos="0" relativeHeight="251659264" behindDoc="0" locked="0" layoutInCell="1" allowOverlap="1" wp14:anchorId="6C0995CF" wp14:editId="7E6CA530">
            <wp:simplePos x="0" y="0"/>
            <wp:positionH relativeFrom="margin">
              <wp:posOffset>24765</wp:posOffset>
            </wp:positionH>
            <wp:positionV relativeFrom="margin">
              <wp:posOffset>2606040</wp:posOffset>
            </wp:positionV>
            <wp:extent cx="2943225" cy="20764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076450"/>
                    </a:xfrm>
                    <a:prstGeom prst="rect">
                      <a:avLst/>
                    </a:prstGeom>
                    <a:noFill/>
                  </pic:spPr>
                </pic:pic>
              </a:graphicData>
            </a:graphic>
            <wp14:sizeRelH relativeFrom="margin">
              <wp14:pctWidth>0</wp14:pctWidth>
            </wp14:sizeRelH>
            <wp14:sizeRelV relativeFrom="margin">
              <wp14:pctHeight>0</wp14:pctHeight>
            </wp14:sizeRelV>
          </wp:anchor>
        </w:drawing>
      </w:r>
      <w:r w:rsidRPr="00FC109D">
        <w:rPr>
          <w:rFonts w:ascii="Times New Roman" w:hAnsi="Times New Roman" w:cs="Times New Roman"/>
          <w:sz w:val="24"/>
          <w:szCs w:val="24"/>
          <w:lang w:val="ro-MD"/>
        </w:rPr>
        <w:t>Mai multă informație despre statutul sub-proiectelor din cadrul MGF este prezentată în Anexa 1 la prezentul raport.</w:t>
      </w:r>
    </w:p>
    <w:p w14:paraId="2A7E8FC2"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Valoarea totală a solicitărilor aprobate spre finanțare în cadrul MGF este de 7.160.000 MDL ($ 361,838), iar costul total al proiectelor fiind de 15.590.000 MDL ($ 787,812). Mărimea medie a grantului este de 166,5 mii MDL per beneficiar ($ 8,415). Astfel, contribuția medie a grantului MGF  în valoarea totală a Proiectelor de Îmbunătățire a Afacerii (PÎA) reprezintă 46%.</w:t>
      </w:r>
    </w:p>
    <w:p w14:paraId="545DC2D8" w14:textId="77777777" w:rsidR="00C432A0" w:rsidRPr="00FC109D" w:rsidRDefault="00C432A0" w:rsidP="00C432A0">
      <w:pPr>
        <w:spacing w:line="276" w:lineRule="auto"/>
        <w:jc w:val="both"/>
        <w:rPr>
          <w:rFonts w:ascii="Times New Roman" w:hAnsi="Times New Roman" w:cs="Times New Roman"/>
          <w:i/>
          <w:sz w:val="24"/>
          <w:szCs w:val="24"/>
          <w:lang w:val="ro-MD"/>
        </w:rPr>
      </w:pPr>
      <w:r w:rsidRPr="00FC109D">
        <w:rPr>
          <w:rFonts w:ascii="Times New Roman" w:hAnsi="Times New Roman" w:cs="Times New Roman"/>
          <w:i/>
          <w:sz w:val="24"/>
          <w:szCs w:val="24"/>
          <w:lang w:val="ro-MD"/>
        </w:rPr>
        <w:t>Figura 2. Distribuirea beneficiarilor MGF după mărime</w:t>
      </w:r>
    </w:p>
    <w:p w14:paraId="2C08A93E" w14:textId="125C071D"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0F37AA74" wp14:editId="6592E2EE">
            <wp:simplePos x="0" y="0"/>
            <wp:positionH relativeFrom="margin">
              <wp:posOffset>-27940</wp:posOffset>
            </wp:positionH>
            <wp:positionV relativeFrom="margin">
              <wp:posOffset>5575935</wp:posOffset>
            </wp:positionV>
            <wp:extent cx="2994660" cy="215582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660" cy="2155825"/>
                    </a:xfrm>
                    <a:prstGeom prst="rect">
                      <a:avLst/>
                    </a:prstGeom>
                    <a:noFill/>
                  </pic:spPr>
                </pic:pic>
              </a:graphicData>
            </a:graphic>
            <wp14:sizeRelH relativeFrom="margin">
              <wp14:pctWidth>0</wp14:pctWidth>
            </wp14:sizeRelH>
            <wp14:sizeRelV relativeFrom="margin">
              <wp14:pctHeight>0</wp14:pctHeight>
            </wp14:sizeRelV>
          </wp:anchor>
        </w:drawing>
      </w:r>
      <w:r w:rsidRPr="00FC109D">
        <w:rPr>
          <w:rFonts w:ascii="Times New Roman" w:hAnsi="Times New Roman" w:cs="Times New Roman"/>
          <w:sz w:val="24"/>
          <w:szCs w:val="24"/>
          <w:lang w:val="ro-MD"/>
        </w:rPr>
        <w:t xml:space="preserve">Mai mult decât atât, în conformitate cu principalele criterii de eligibilitate din Legea nr. 206-XVI (2006) privind IMM-urile, cei </w:t>
      </w:r>
      <w:r w:rsidR="00FC109D" w:rsidRPr="00FC109D">
        <w:rPr>
          <w:rFonts w:ascii="Times New Roman" w:hAnsi="Times New Roman" w:cs="Times New Roman"/>
          <w:sz w:val="24"/>
          <w:szCs w:val="24"/>
          <w:lang w:val="ro-MD"/>
        </w:rPr>
        <w:t>43</w:t>
      </w:r>
      <w:r w:rsidRPr="00FC109D">
        <w:rPr>
          <w:rFonts w:ascii="Times New Roman" w:hAnsi="Times New Roman" w:cs="Times New Roman"/>
          <w:sz w:val="24"/>
          <w:szCs w:val="24"/>
          <w:lang w:val="ro-MD"/>
        </w:rPr>
        <w:t xml:space="preserve"> de beneficiari MGF pot fi clasificate după mărime</w:t>
      </w:r>
      <w:r w:rsidRPr="00FC109D">
        <w:rPr>
          <w:rStyle w:val="FootnoteReference"/>
          <w:rFonts w:ascii="Times New Roman" w:hAnsi="Times New Roman" w:cs="Times New Roman"/>
          <w:sz w:val="24"/>
          <w:szCs w:val="24"/>
          <w:lang w:val="ro-MD"/>
        </w:rPr>
        <w:footnoteReference w:id="2"/>
      </w:r>
      <w:r w:rsidRPr="00FC109D">
        <w:rPr>
          <w:rFonts w:ascii="Times New Roman" w:hAnsi="Times New Roman" w:cs="Times New Roman"/>
          <w:sz w:val="24"/>
          <w:szCs w:val="24"/>
          <w:lang w:val="ro-MD"/>
        </w:rPr>
        <w:t xml:space="preserve"> așa cum este arătat în Figura 2.</w:t>
      </w:r>
    </w:p>
    <w:p w14:paraId="63518205" w14:textId="6F899DE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xml:space="preserve">În cadrul sub-componentei </w:t>
      </w:r>
      <w:r w:rsidR="00CC762A" w:rsidRPr="00FC109D">
        <w:rPr>
          <w:rFonts w:ascii="Times New Roman" w:hAnsi="Times New Roman" w:cs="Times New Roman"/>
          <w:sz w:val="24"/>
          <w:szCs w:val="24"/>
          <w:lang w:val="ro-MD"/>
        </w:rPr>
        <w:t xml:space="preserve">de grant </w:t>
      </w:r>
      <w:r w:rsidRPr="00FC109D">
        <w:rPr>
          <w:rFonts w:ascii="Times New Roman" w:hAnsi="Times New Roman" w:cs="Times New Roman"/>
          <w:sz w:val="24"/>
          <w:szCs w:val="24"/>
          <w:lang w:val="ro-MD"/>
        </w:rPr>
        <w:t>pot participa întreprinderile care corespund criteriilor de eligibilitate, de pe întreg teritoriu al Republicii Moldova. Analizând distribuția geografică a beneficiarilor MGF, se observă că majoritatea proiectelor de îmbunătățire a afacerii sunt localizate în municipiu Chișinău (19 PÎA), urmate de beneficiarii din 6 raioane din regiunea Centru (14 PÎA), 7 beneficiari din regiunea Nord și 3 de la Sudul țării.</w:t>
      </w:r>
    </w:p>
    <w:p w14:paraId="48F5D321" w14:textId="77777777" w:rsidR="00C432A0" w:rsidRPr="00FC109D" w:rsidRDefault="00C432A0" w:rsidP="00C432A0">
      <w:pPr>
        <w:spacing w:after="0" w:line="276" w:lineRule="auto"/>
        <w:jc w:val="center"/>
        <w:rPr>
          <w:rFonts w:ascii="Times New Roman" w:hAnsi="Times New Roman" w:cs="Times New Roman"/>
          <w:i/>
          <w:sz w:val="24"/>
          <w:szCs w:val="24"/>
          <w:lang w:val="ro-MD"/>
        </w:rPr>
      </w:pPr>
      <w:r w:rsidRPr="00FC109D">
        <w:rPr>
          <w:rFonts w:ascii="Times New Roman" w:hAnsi="Times New Roman" w:cs="Times New Roman"/>
          <w:i/>
          <w:sz w:val="24"/>
          <w:szCs w:val="24"/>
          <w:lang w:val="ro-MD"/>
        </w:rPr>
        <w:t>Tabel 1. Distribuția geografică a beneficiarilor MGF</w:t>
      </w:r>
    </w:p>
    <w:tbl>
      <w:tblPr>
        <w:tblW w:w="0" w:type="auto"/>
        <w:jc w:val="center"/>
        <w:tblLook w:val="04A0" w:firstRow="1" w:lastRow="0" w:firstColumn="1" w:lastColumn="0" w:noHBand="0" w:noVBand="1"/>
      </w:tblPr>
      <w:tblGrid>
        <w:gridCol w:w="2977"/>
        <w:gridCol w:w="3544"/>
      </w:tblGrid>
      <w:tr w:rsidR="00C432A0" w:rsidRPr="00CD0ED1" w14:paraId="4A85DE8C" w14:textId="77777777" w:rsidTr="00266793">
        <w:trPr>
          <w:trHeight w:val="294"/>
          <w:jc w:val="center"/>
        </w:trPr>
        <w:tc>
          <w:tcPr>
            <w:tcW w:w="6521" w:type="dxa"/>
            <w:gridSpan w:val="2"/>
          </w:tcPr>
          <w:p w14:paraId="19B1869C" w14:textId="77777777" w:rsidR="00C432A0" w:rsidRPr="00FC109D" w:rsidRDefault="00C432A0" w:rsidP="00266793">
            <w:pPr>
              <w:spacing w:line="276" w:lineRule="auto"/>
              <w:jc w:val="center"/>
              <w:rPr>
                <w:rFonts w:ascii="Times New Roman" w:hAnsi="Times New Roman" w:cs="Times New Roman"/>
                <w:i/>
                <w:sz w:val="24"/>
                <w:szCs w:val="24"/>
                <w:lang w:val="ro-MD"/>
              </w:rPr>
            </w:pPr>
            <w:r w:rsidRPr="00FC109D">
              <w:rPr>
                <w:rFonts w:ascii="Times New Roman" w:hAnsi="Times New Roman" w:cs="Times New Roman"/>
                <w:sz w:val="24"/>
                <w:szCs w:val="24"/>
                <w:lang w:val="ro-MD"/>
              </w:rPr>
              <w:t xml:space="preserve">Tabel 1. </w:t>
            </w:r>
            <w:r w:rsidRPr="00FC109D">
              <w:rPr>
                <w:rFonts w:ascii="Times New Roman" w:hAnsi="Times New Roman" w:cs="Times New Roman"/>
                <w:i/>
                <w:sz w:val="24"/>
                <w:szCs w:val="24"/>
                <w:lang w:val="ro-MD"/>
              </w:rPr>
              <w:t>Distribuția geografică a beneficiarilor MGF</w:t>
            </w:r>
          </w:p>
        </w:tc>
      </w:tr>
      <w:tr w:rsidR="00C432A0" w:rsidRPr="00CD0ED1" w14:paraId="79C47330" w14:textId="77777777" w:rsidTr="00266793">
        <w:trPr>
          <w:trHeight w:val="294"/>
          <w:jc w:val="center"/>
        </w:trPr>
        <w:tc>
          <w:tcPr>
            <w:tcW w:w="2977" w:type="dxa"/>
          </w:tcPr>
          <w:p w14:paraId="0CB76C77" w14:textId="77777777" w:rsidR="00C432A0" w:rsidRPr="00FC109D" w:rsidRDefault="00C432A0" w:rsidP="00266793">
            <w:pPr>
              <w:spacing w:line="276" w:lineRule="auto"/>
              <w:jc w:val="center"/>
              <w:rPr>
                <w:rFonts w:ascii="Times New Roman" w:hAnsi="Times New Roman" w:cs="Times New Roman"/>
                <w:b/>
                <w:i/>
                <w:sz w:val="24"/>
                <w:szCs w:val="24"/>
                <w:u w:val="single"/>
                <w:lang w:val="ro-MD"/>
              </w:rPr>
            </w:pPr>
            <w:r w:rsidRPr="00FC109D">
              <w:rPr>
                <w:rFonts w:ascii="Times New Roman" w:hAnsi="Times New Roman" w:cs="Times New Roman"/>
                <w:b/>
                <w:i/>
                <w:sz w:val="24"/>
                <w:szCs w:val="24"/>
                <w:u w:val="single"/>
                <w:lang w:val="ro-MD"/>
              </w:rPr>
              <w:t>Raion</w:t>
            </w:r>
          </w:p>
        </w:tc>
        <w:tc>
          <w:tcPr>
            <w:tcW w:w="3544" w:type="dxa"/>
          </w:tcPr>
          <w:p w14:paraId="73C8CF45" w14:textId="77777777" w:rsidR="00C432A0" w:rsidRPr="00FC109D" w:rsidRDefault="00C432A0" w:rsidP="00266793">
            <w:pPr>
              <w:spacing w:line="276" w:lineRule="auto"/>
              <w:jc w:val="center"/>
              <w:rPr>
                <w:rFonts w:ascii="Times New Roman" w:hAnsi="Times New Roman" w:cs="Times New Roman"/>
                <w:i/>
                <w:sz w:val="24"/>
                <w:szCs w:val="24"/>
                <w:u w:val="single"/>
                <w:lang w:val="ro-MD"/>
              </w:rPr>
            </w:pPr>
            <w:r w:rsidRPr="00FC109D">
              <w:rPr>
                <w:rFonts w:ascii="Times New Roman" w:hAnsi="Times New Roman" w:cs="Times New Roman"/>
                <w:i/>
                <w:sz w:val="24"/>
                <w:szCs w:val="24"/>
                <w:u w:val="single"/>
                <w:lang w:val="ro-MD"/>
              </w:rPr>
              <w:t>Nr. de beneficiari</w:t>
            </w:r>
          </w:p>
        </w:tc>
      </w:tr>
      <w:tr w:rsidR="00C432A0" w:rsidRPr="00CD0ED1" w14:paraId="6C61A241" w14:textId="77777777" w:rsidTr="00266793">
        <w:trPr>
          <w:trHeight w:val="294"/>
          <w:jc w:val="center"/>
        </w:trPr>
        <w:tc>
          <w:tcPr>
            <w:tcW w:w="2977" w:type="dxa"/>
          </w:tcPr>
          <w:p w14:paraId="0083F2A6"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Mun. Bălți</w:t>
            </w:r>
          </w:p>
        </w:tc>
        <w:tc>
          <w:tcPr>
            <w:tcW w:w="3544" w:type="dxa"/>
          </w:tcPr>
          <w:p w14:paraId="610087AB"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2</w:t>
            </w:r>
          </w:p>
        </w:tc>
      </w:tr>
      <w:tr w:rsidR="00C432A0" w:rsidRPr="00CD0ED1" w14:paraId="34608CC6" w14:textId="77777777" w:rsidTr="00266793">
        <w:trPr>
          <w:trHeight w:val="294"/>
          <w:jc w:val="center"/>
        </w:trPr>
        <w:tc>
          <w:tcPr>
            <w:tcW w:w="2977" w:type="dxa"/>
          </w:tcPr>
          <w:p w14:paraId="789A9BEF"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lastRenderedPageBreak/>
              <w:t>Florești</w:t>
            </w:r>
          </w:p>
        </w:tc>
        <w:tc>
          <w:tcPr>
            <w:tcW w:w="3544" w:type="dxa"/>
          </w:tcPr>
          <w:p w14:paraId="5E5D17A2"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w:t>
            </w:r>
          </w:p>
        </w:tc>
      </w:tr>
      <w:tr w:rsidR="00C432A0" w:rsidRPr="00CD0ED1" w14:paraId="6B8C5C5C" w14:textId="77777777" w:rsidTr="00266793">
        <w:trPr>
          <w:trHeight w:val="294"/>
          <w:jc w:val="center"/>
        </w:trPr>
        <w:tc>
          <w:tcPr>
            <w:tcW w:w="2977" w:type="dxa"/>
          </w:tcPr>
          <w:p w14:paraId="7705697C"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Briceni</w:t>
            </w:r>
          </w:p>
        </w:tc>
        <w:tc>
          <w:tcPr>
            <w:tcW w:w="3544" w:type="dxa"/>
          </w:tcPr>
          <w:p w14:paraId="25ACA6EB"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w:t>
            </w:r>
          </w:p>
        </w:tc>
      </w:tr>
      <w:tr w:rsidR="00C432A0" w:rsidRPr="00CD0ED1" w14:paraId="1E7B5FF4" w14:textId="77777777" w:rsidTr="00266793">
        <w:trPr>
          <w:trHeight w:val="294"/>
          <w:jc w:val="center"/>
        </w:trPr>
        <w:tc>
          <w:tcPr>
            <w:tcW w:w="2977" w:type="dxa"/>
          </w:tcPr>
          <w:p w14:paraId="02C03135" w14:textId="77777777" w:rsidR="00C432A0" w:rsidRPr="00FC109D" w:rsidRDefault="00C432A0" w:rsidP="00266793">
            <w:pPr>
              <w:spacing w:line="276" w:lineRule="auto"/>
              <w:jc w:val="center"/>
              <w:rPr>
                <w:rFonts w:ascii="Times New Roman" w:hAnsi="Times New Roman" w:cs="Times New Roman"/>
                <w:b/>
                <w:sz w:val="24"/>
                <w:szCs w:val="24"/>
                <w:lang w:val="ro-MD"/>
              </w:rPr>
            </w:pPr>
            <w:proofErr w:type="spellStart"/>
            <w:r w:rsidRPr="00FC109D">
              <w:rPr>
                <w:rFonts w:ascii="Times New Roman" w:hAnsi="Times New Roman" w:cs="Times New Roman"/>
                <w:b/>
                <w:sz w:val="24"/>
                <w:szCs w:val="24"/>
                <w:lang w:val="ro-MD"/>
              </w:rPr>
              <w:t>Sîngerei</w:t>
            </w:r>
            <w:proofErr w:type="spellEnd"/>
          </w:p>
        </w:tc>
        <w:tc>
          <w:tcPr>
            <w:tcW w:w="3544" w:type="dxa"/>
          </w:tcPr>
          <w:p w14:paraId="222C746E"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w:t>
            </w:r>
          </w:p>
        </w:tc>
      </w:tr>
      <w:tr w:rsidR="00C432A0" w:rsidRPr="00CD0ED1" w14:paraId="324EAB29" w14:textId="77777777" w:rsidTr="00266793">
        <w:trPr>
          <w:trHeight w:val="294"/>
          <w:jc w:val="center"/>
        </w:trPr>
        <w:tc>
          <w:tcPr>
            <w:tcW w:w="2977" w:type="dxa"/>
          </w:tcPr>
          <w:p w14:paraId="7E1CE2C3" w14:textId="77777777" w:rsidR="00C432A0" w:rsidRPr="00FC109D" w:rsidRDefault="00C432A0" w:rsidP="00266793">
            <w:pPr>
              <w:spacing w:line="276" w:lineRule="auto"/>
              <w:jc w:val="center"/>
              <w:rPr>
                <w:rFonts w:ascii="Times New Roman" w:hAnsi="Times New Roman" w:cs="Times New Roman"/>
                <w:b/>
                <w:sz w:val="24"/>
                <w:szCs w:val="24"/>
                <w:lang w:val="ro-MD"/>
              </w:rPr>
            </w:pPr>
            <w:proofErr w:type="spellStart"/>
            <w:r w:rsidRPr="00FC109D">
              <w:rPr>
                <w:rFonts w:ascii="Times New Roman" w:hAnsi="Times New Roman" w:cs="Times New Roman"/>
                <w:b/>
                <w:sz w:val="24"/>
                <w:szCs w:val="24"/>
                <w:lang w:val="ro-MD"/>
              </w:rPr>
              <w:t>Rîșcani</w:t>
            </w:r>
            <w:proofErr w:type="spellEnd"/>
          </w:p>
        </w:tc>
        <w:tc>
          <w:tcPr>
            <w:tcW w:w="3544" w:type="dxa"/>
          </w:tcPr>
          <w:p w14:paraId="35344BDA"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w:t>
            </w:r>
          </w:p>
        </w:tc>
      </w:tr>
      <w:tr w:rsidR="00C432A0" w:rsidRPr="00CD0ED1" w14:paraId="13511476" w14:textId="77777777" w:rsidTr="00266793">
        <w:trPr>
          <w:trHeight w:val="294"/>
          <w:jc w:val="center"/>
        </w:trPr>
        <w:tc>
          <w:tcPr>
            <w:tcW w:w="2977" w:type="dxa"/>
          </w:tcPr>
          <w:p w14:paraId="0F0909E2"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Drochia</w:t>
            </w:r>
          </w:p>
        </w:tc>
        <w:tc>
          <w:tcPr>
            <w:tcW w:w="3544" w:type="dxa"/>
          </w:tcPr>
          <w:p w14:paraId="68CCC93D"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w:t>
            </w:r>
          </w:p>
        </w:tc>
      </w:tr>
      <w:tr w:rsidR="00C432A0" w:rsidRPr="00CD0ED1" w14:paraId="7A8F49D7" w14:textId="77777777" w:rsidTr="00266793">
        <w:trPr>
          <w:trHeight w:val="294"/>
          <w:jc w:val="center"/>
        </w:trPr>
        <w:tc>
          <w:tcPr>
            <w:tcW w:w="2977" w:type="dxa"/>
          </w:tcPr>
          <w:p w14:paraId="288AAA8A"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Nisporeni</w:t>
            </w:r>
          </w:p>
        </w:tc>
        <w:tc>
          <w:tcPr>
            <w:tcW w:w="3544" w:type="dxa"/>
          </w:tcPr>
          <w:p w14:paraId="6ABD4865"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2</w:t>
            </w:r>
          </w:p>
        </w:tc>
      </w:tr>
      <w:tr w:rsidR="00C432A0" w:rsidRPr="00CD0ED1" w14:paraId="760F373B" w14:textId="77777777" w:rsidTr="00266793">
        <w:trPr>
          <w:trHeight w:val="294"/>
          <w:jc w:val="center"/>
        </w:trPr>
        <w:tc>
          <w:tcPr>
            <w:tcW w:w="2977" w:type="dxa"/>
          </w:tcPr>
          <w:p w14:paraId="6610C6AC"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Ialoveni</w:t>
            </w:r>
          </w:p>
        </w:tc>
        <w:tc>
          <w:tcPr>
            <w:tcW w:w="3544" w:type="dxa"/>
          </w:tcPr>
          <w:p w14:paraId="2CA2A135"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5</w:t>
            </w:r>
          </w:p>
        </w:tc>
      </w:tr>
      <w:tr w:rsidR="00C432A0" w:rsidRPr="00CD0ED1" w14:paraId="3A84C651" w14:textId="77777777" w:rsidTr="00266793">
        <w:trPr>
          <w:trHeight w:val="294"/>
          <w:jc w:val="center"/>
        </w:trPr>
        <w:tc>
          <w:tcPr>
            <w:tcW w:w="2977" w:type="dxa"/>
          </w:tcPr>
          <w:p w14:paraId="40C6CF7D"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Orhei</w:t>
            </w:r>
          </w:p>
        </w:tc>
        <w:tc>
          <w:tcPr>
            <w:tcW w:w="3544" w:type="dxa"/>
          </w:tcPr>
          <w:p w14:paraId="2612CE65"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3</w:t>
            </w:r>
          </w:p>
        </w:tc>
      </w:tr>
      <w:tr w:rsidR="00C432A0" w:rsidRPr="00CD0ED1" w14:paraId="0BC08735" w14:textId="77777777" w:rsidTr="00266793">
        <w:trPr>
          <w:trHeight w:val="294"/>
          <w:jc w:val="center"/>
        </w:trPr>
        <w:tc>
          <w:tcPr>
            <w:tcW w:w="2977" w:type="dxa"/>
          </w:tcPr>
          <w:p w14:paraId="12B8F229"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Strășeni</w:t>
            </w:r>
          </w:p>
        </w:tc>
        <w:tc>
          <w:tcPr>
            <w:tcW w:w="3544" w:type="dxa"/>
          </w:tcPr>
          <w:p w14:paraId="5C2ED57A"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2</w:t>
            </w:r>
          </w:p>
        </w:tc>
      </w:tr>
      <w:tr w:rsidR="00C432A0" w:rsidRPr="00CD0ED1" w14:paraId="304BBE6D" w14:textId="77777777" w:rsidTr="00266793">
        <w:trPr>
          <w:trHeight w:val="294"/>
          <w:jc w:val="center"/>
        </w:trPr>
        <w:tc>
          <w:tcPr>
            <w:tcW w:w="2977" w:type="dxa"/>
          </w:tcPr>
          <w:p w14:paraId="740FC694" w14:textId="77777777" w:rsidR="00C432A0" w:rsidRPr="00FC109D" w:rsidRDefault="00C432A0" w:rsidP="00266793">
            <w:pPr>
              <w:spacing w:line="276" w:lineRule="auto"/>
              <w:jc w:val="center"/>
              <w:rPr>
                <w:rFonts w:ascii="Times New Roman" w:hAnsi="Times New Roman" w:cs="Times New Roman"/>
                <w:b/>
                <w:sz w:val="24"/>
                <w:szCs w:val="24"/>
                <w:lang w:val="ro-MD"/>
              </w:rPr>
            </w:pPr>
            <w:proofErr w:type="spellStart"/>
            <w:r w:rsidRPr="00FC109D">
              <w:rPr>
                <w:rFonts w:ascii="Times New Roman" w:hAnsi="Times New Roman" w:cs="Times New Roman"/>
                <w:b/>
                <w:sz w:val="24"/>
                <w:szCs w:val="24"/>
                <w:lang w:val="ro-MD"/>
              </w:rPr>
              <w:t>Hîncești</w:t>
            </w:r>
            <w:proofErr w:type="spellEnd"/>
          </w:p>
        </w:tc>
        <w:tc>
          <w:tcPr>
            <w:tcW w:w="3544" w:type="dxa"/>
          </w:tcPr>
          <w:p w14:paraId="1C42232A"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w:t>
            </w:r>
          </w:p>
        </w:tc>
      </w:tr>
      <w:tr w:rsidR="00C432A0" w:rsidRPr="00CD0ED1" w14:paraId="062AFFCC" w14:textId="77777777" w:rsidTr="00266793">
        <w:trPr>
          <w:trHeight w:val="294"/>
          <w:jc w:val="center"/>
        </w:trPr>
        <w:tc>
          <w:tcPr>
            <w:tcW w:w="2977" w:type="dxa"/>
          </w:tcPr>
          <w:p w14:paraId="64D52FF7"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Criuleni</w:t>
            </w:r>
          </w:p>
        </w:tc>
        <w:tc>
          <w:tcPr>
            <w:tcW w:w="3544" w:type="dxa"/>
          </w:tcPr>
          <w:p w14:paraId="619E04CC"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w:t>
            </w:r>
          </w:p>
        </w:tc>
      </w:tr>
      <w:tr w:rsidR="00C432A0" w:rsidRPr="00CD0ED1" w14:paraId="66F39985" w14:textId="77777777" w:rsidTr="00266793">
        <w:trPr>
          <w:trHeight w:val="280"/>
          <w:jc w:val="center"/>
        </w:trPr>
        <w:tc>
          <w:tcPr>
            <w:tcW w:w="2977" w:type="dxa"/>
          </w:tcPr>
          <w:p w14:paraId="3AA3E7FD" w14:textId="77777777" w:rsidR="00C432A0" w:rsidRPr="00FC109D" w:rsidRDefault="00C432A0" w:rsidP="00266793">
            <w:pPr>
              <w:spacing w:line="276" w:lineRule="auto"/>
              <w:jc w:val="center"/>
              <w:rPr>
                <w:rFonts w:ascii="Times New Roman" w:hAnsi="Times New Roman" w:cs="Times New Roman"/>
                <w:b/>
                <w:sz w:val="24"/>
                <w:szCs w:val="24"/>
                <w:lang w:val="ro-MD"/>
              </w:rPr>
            </w:pPr>
            <w:proofErr w:type="spellStart"/>
            <w:r w:rsidRPr="00FC109D">
              <w:rPr>
                <w:rFonts w:ascii="Times New Roman" w:hAnsi="Times New Roman" w:cs="Times New Roman"/>
                <w:b/>
                <w:sz w:val="24"/>
                <w:szCs w:val="24"/>
                <w:lang w:val="ro-MD"/>
              </w:rPr>
              <w:t>Ceadîr</w:t>
            </w:r>
            <w:proofErr w:type="spellEnd"/>
            <w:r w:rsidRPr="00FC109D">
              <w:rPr>
                <w:rFonts w:ascii="Times New Roman" w:hAnsi="Times New Roman" w:cs="Times New Roman"/>
                <w:b/>
                <w:sz w:val="24"/>
                <w:szCs w:val="24"/>
                <w:lang w:val="ro-MD"/>
              </w:rPr>
              <w:t>-Lunga</w:t>
            </w:r>
          </w:p>
        </w:tc>
        <w:tc>
          <w:tcPr>
            <w:tcW w:w="3544" w:type="dxa"/>
          </w:tcPr>
          <w:p w14:paraId="3D079533"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2</w:t>
            </w:r>
          </w:p>
        </w:tc>
      </w:tr>
      <w:tr w:rsidR="00C432A0" w:rsidRPr="00CD0ED1" w14:paraId="6EAA589E" w14:textId="77777777" w:rsidTr="00266793">
        <w:trPr>
          <w:trHeight w:val="294"/>
          <w:jc w:val="center"/>
        </w:trPr>
        <w:tc>
          <w:tcPr>
            <w:tcW w:w="2977" w:type="dxa"/>
          </w:tcPr>
          <w:p w14:paraId="2A5574E9"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Ștefan Vodă</w:t>
            </w:r>
          </w:p>
        </w:tc>
        <w:tc>
          <w:tcPr>
            <w:tcW w:w="3544" w:type="dxa"/>
          </w:tcPr>
          <w:p w14:paraId="2B72D035"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w:t>
            </w:r>
          </w:p>
        </w:tc>
      </w:tr>
      <w:tr w:rsidR="00C432A0" w:rsidRPr="00CD0ED1" w14:paraId="5EA04C3F" w14:textId="77777777" w:rsidTr="00266793">
        <w:trPr>
          <w:trHeight w:val="294"/>
          <w:jc w:val="center"/>
        </w:trPr>
        <w:tc>
          <w:tcPr>
            <w:tcW w:w="2977" w:type="dxa"/>
          </w:tcPr>
          <w:p w14:paraId="18169DA9"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Mun. Chișinău</w:t>
            </w:r>
          </w:p>
        </w:tc>
        <w:tc>
          <w:tcPr>
            <w:tcW w:w="3544" w:type="dxa"/>
          </w:tcPr>
          <w:p w14:paraId="36AB2467"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19</w:t>
            </w:r>
          </w:p>
        </w:tc>
      </w:tr>
      <w:tr w:rsidR="00C432A0" w:rsidRPr="00CD0ED1" w14:paraId="00E57FDE" w14:textId="77777777" w:rsidTr="00266793">
        <w:trPr>
          <w:trHeight w:val="280"/>
          <w:jc w:val="center"/>
        </w:trPr>
        <w:tc>
          <w:tcPr>
            <w:tcW w:w="2977" w:type="dxa"/>
          </w:tcPr>
          <w:p w14:paraId="4699FC01"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Total:</w:t>
            </w:r>
          </w:p>
        </w:tc>
        <w:tc>
          <w:tcPr>
            <w:tcW w:w="3544" w:type="dxa"/>
          </w:tcPr>
          <w:p w14:paraId="1C659A84"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43</w:t>
            </w:r>
          </w:p>
        </w:tc>
      </w:tr>
    </w:tbl>
    <w:p w14:paraId="7F6706D1" w14:textId="77777777" w:rsidR="00C432A0" w:rsidRPr="00FC109D" w:rsidRDefault="00C432A0" w:rsidP="00C432A0">
      <w:pPr>
        <w:spacing w:line="276" w:lineRule="auto"/>
        <w:jc w:val="both"/>
        <w:rPr>
          <w:rFonts w:ascii="Times New Roman" w:hAnsi="Times New Roman" w:cs="Times New Roman"/>
          <w:sz w:val="24"/>
          <w:szCs w:val="24"/>
          <w:lang w:val="ro-MD"/>
        </w:rPr>
      </w:pPr>
    </w:p>
    <w:p w14:paraId="2E7D6F59" w14:textId="5123FC9B" w:rsidR="00C432A0" w:rsidRPr="00FC109D" w:rsidRDefault="00C432A0" w:rsidP="00C432A0">
      <w:pPr>
        <w:spacing w:line="276" w:lineRule="auto"/>
        <w:jc w:val="both"/>
        <w:rPr>
          <w:rFonts w:ascii="Times New Roman" w:hAnsi="Times New Roman" w:cs="Times New Roman"/>
          <w:i/>
          <w:sz w:val="24"/>
          <w:szCs w:val="24"/>
          <w:lang w:val="ro-MD"/>
        </w:rPr>
      </w:pPr>
      <w:r w:rsidRPr="00FC109D">
        <w:rPr>
          <w:rFonts w:ascii="Times New Roman" w:hAnsi="Times New Roman" w:cs="Times New Roman"/>
          <w:i/>
          <w:noProof/>
          <w:sz w:val="24"/>
          <w:szCs w:val="24"/>
          <w:lang w:eastAsia="ro-RO"/>
        </w:rPr>
        <w:drawing>
          <wp:anchor distT="0" distB="0" distL="114300" distR="114300" simplePos="0" relativeHeight="251661312" behindDoc="0" locked="0" layoutInCell="1" allowOverlap="1" wp14:anchorId="4F18A68B" wp14:editId="7FB9F36A">
            <wp:simplePos x="0" y="0"/>
            <wp:positionH relativeFrom="margin">
              <wp:posOffset>-635</wp:posOffset>
            </wp:positionH>
            <wp:positionV relativeFrom="margin">
              <wp:posOffset>5264785</wp:posOffset>
            </wp:positionV>
            <wp:extent cx="3209925" cy="2112645"/>
            <wp:effectExtent l="0" t="0" r="9525" b="19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2112645"/>
                    </a:xfrm>
                    <a:prstGeom prst="rect">
                      <a:avLst/>
                    </a:prstGeom>
                    <a:noFill/>
                  </pic:spPr>
                </pic:pic>
              </a:graphicData>
            </a:graphic>
            <wp14:sizeRelH relativeFrom="margin">
              <wp14:pctWidth>0</wp14:pctWidth>
            </wp14:sizeRelH>
            <wp14:sizeRelV relativeFrom="margin">
              <wp14:pctHeight>0</wp14:pctHeight>
            </wp14:sizeRelV>
          </wp:anchor>
        </w:drawing>
      </w:r>
      <w:r w:rsidRPr="00FC109D">
        <w:rPr>
          <w:rFonts w:ascii="Times New Roman" w:hAnsi="Times New Roman" w:cs="Times New Roman"/>
          <w:i/>
          <w:sz w:val="24"/>
          <w:szCs w:val="24"/>
          <w:lang w:val="ro-MD"/>
        </w:rPr>
        <w:t>Figura 3. Distribuirea regional</w:t>
      </w:r>
      <w:r w:rsidR="00CD0ED1" w:rsidRPr="00FC109D">
        <w:rPr>
          <w:rFonts w:ascii="Times New Roman" w:hAnsi="Times New Roman" w:cs="Times New Roman"/>
          <w:i/>
          <w:sz w:val="24"/>
          <w:szCs w:val="24"/>
          <w:lang w:val="ro-MD"/>
        </w:rPr>
        <w:t>ă</w:t>
      </w:r>
      <w:r w:rsidRPr="00FC109D">
        <w:rPr>
          <w:rFonts w:ascii="Times New Roman" w:hAnsi="Times New Roman" w:cs="Times New Roman"/>
          <w:i/>
          <w:sz w:val="24"/>
          <w:szCs w:val="24"/>
          <w:lang w:val="ro-MD"/>
        </w:rPr>
        <w:t xml:space="preserve"> a beneficiarilor MGF</w:t>
      </w:r>
    </w:p>
    <w:p w14:paraId="1D256C3F"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În baza opiniei colectate în timpul vizitelor de monitorizare în teren, datele de mai sus pot fi explicate prin faptul că sub-componenta de granturi este direcționată spre întreprinderi exportatoare sau cele orientate spre export, care își desfășoară, de obicei, activitățile în orașe mai mari sau în apropierea acestora. Acestea pot oferi o infrastructură mai dezvoltată și, prin urmare, sunt mai atractive pentru potențialii investitori străini.</w:t>
      </w:r>
    </w:p>
    <w:p w14:paraId="3FB6683B" w14:textId="19226423"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Întreprinderile din diferite sectoare pot beneficia de granturi în cazul în care proiectele impl</w:t>
      </w:r>
      <w:r w:rsidR="00CD0ED1">
        <w:rPr>
          <w:rFonts w:ascii="Times New Roman" w:hAnsi="Times New Roman" w:cs="Times New Roman"/>
          <w:sz w:val="24"/>
          <w:szCs w:val="24"/>
          <w:lang w:val="ro-MD"/>
        </w:rPr>
        <w:t>e</w:t>
      </w:r>
      <w:r w:rsidRPr="00FC109D">
        <w:rPr>
          <w:rFonts w:ascii="Times New Roman" w:hAnsi="Times New Roman" w:cs="Times New Roman"/>
          <w:sz w:val="24"/>
          <w:szCs w:val="24"/>
          <w:lang w:val="ro-MD"/>
        </w:rPr>
        <w:t>mentate vor duce la îmbunătățirea capacităților de export. În același timp, pentru cofinanțare sunt prioritare întreprinderile din următoarele industrii orientate spre export:</w:t>
      </w:r>
    </w:p>
    <w:p w14:paraId="53C973E0" w14:textId="77777777" w:rsidR="00C432A0" w:rsidRPr="00FC109D" w:rsidRDefault="00C432A0" w:rsidP="00C432A0">
      <w:pPr>
        <w:spacing w:after="0"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Produse alimentare și băuturi,</w:t>
      </w:r>
    </w:p>
    <w:p w14:paraId="726F4D69" w14:textId="77777777" w:rsidR="00C432A0" w:rsidRPr="00FC109D" w:rsidRDefault="00C432A0" w:rsidP="00C432A0">
      <w:pPr>
        <w:spacing w:after="0"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produse electronice și mecanice,</w:t>
      </w:r>
    </w:p>
    <w:p w14:paraId="32F9AAB5" w14:textId="4AAB7466" w:rsidR="00C432A0" w:rsidRPr="00FC109D" w:rsidRDefault="00C432A0" w:rsidP="00C432A0">
      <w:pPr>
        <w:spacing w:after="0"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xml:space="preserve">- Textile </w:t>
      </w:r>
      <w:r w:rsidR="00CD0ED1">
        <w:rPr>
          <w:rFonts w:ascii="Times New Roman" w:hAnsi="Times New Roman" w:cs="Times New Roman"/>
          <w:sz w:val="24"/>
          <w:szCs w:val="24"/>
          <w:lang w:val="ro-MD"/>
        </w:rPr>
        <w:t>ș</w:t>
      </w:r>
      <w:r w:rsidRPr="00FC109D">
        <w:rPr>
          <w:rFonts w:ascii="Times New Roman" w:hAnsi="Times New Roman" w:cs="Times New Roman"/>
          <w:sz w:val="24"/>
          <w:szCs w:val="24"/>
          <w:lang w:val="ro-MD"/>
        </w:rPr>
        <w:t xml:space="preserve">i </w:t>
      </w:r>
      <w:r w:rsidR="00CD0ED1">
        <w:rPr>
          <w:rFonts w:ascii="Times New Roman" w:hAnsi="Times New Roman" w:cs="Times New Roman"/>
          <w:sz w:val="24"/>
          <w:szCs w:val="24"/>
          <w:lang w:val="ro-MD"/>
        </w:rPr>
        <w:t>î</w:t>
      </w:r>
      <w:r w:rsidRPr="00FC109D">
        <w:rPr>
          <w:rFonts w:ascii="Times New Roman" w:hAnsi="Times New Roman" w:cs="Times New Roman"/>
          <w:sz w:val="24"/>
          <w:szCs w:val="24"/>
          <w:lang w:val="ro-MD"/>
        </w:rPr>
        <w:t>mbr</w:t>
      </w:r>
      <w:r w:rsidR="00CD0ED1">
        <w:rPr>
          <w:rFonts w:ascii="Times New Roman" w:hAnsi="Times New Roman" w:cs="Times New Roman"/>
          <w:sz w:val="24"/>
          <w:szCs w:val="24"/>
          <w:lang w:val="ro-MD"/>
        </w:rPr>
        <w:t>ă</w:t>
      </w:r>
      <w:r w:rsidRPr="00FC109D">
        <w:rPr>
          <w:rFonts w:ascii="Times New Roman" w:hAnsi="Times New Roman" w:cs="Times New Roman"/>
          <w:sz w:val="24"/>
          <w:szCs w:val="24"/>
          <w:lang w:val="ro-MD"/>
        </w:rPr>
        <w:t>c</w:t>
      </w:r>
      <w:r w:rsidR="00CD0ED1">
        <w:rPr>
          <w:rFonts w:ascii="Times New Roman" w:hAnsi="Times New Roman" w:cs="Times New Roman"/>
          <w:sz w:val="24"/>
          <w:szCs w:val="24"/>
          <w:lang w:val="ro-MD"/>
        </w:rPr>
        <w:t>ă</w:t>
      </w:r>
      <w:r w:rsidRPr="00FC109D">
        <w:rPr>
          <w:rFonts w:ascii="Times New Roman" w:hAnsi="Times New Roman" w:cs="Times New Roman"/>
          <w:sz w:val="24"/>
          <w:szCs w:val="24"/>
          <w:lang w:val="ro-MD"/>
        </w:rPr>
        <w:t>minte,</w:t>
      </w:r>
    </w:p>
    <w:p w14:paraId="2F16BB72"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Tehnologi informaționale și externalizarea proceselor de afaceri (exportul de servicii).</w:t>
      </w:r>
    </w:p>
    <w:p w14:paraId="1621C827"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lastRenderedPageBreak/>
        <w:t>Distribuția IMM-urilor după domeniul de activitate este prezentată în Figura 4.</w:t>
      </w:r>
    </w:p>
    <w:p w14:paraId="29083B70" w14:textId="77777777" w:rsidR="00C432A0" w:rsidRPr="00FC109D" w:rsidRDefault="00C432A0" w:rsidP="00C432A0">
      <w:pPr>
        <w:spacing w:line="276" w:lineRule="auto"/>
        <w:jc w:val="both"/>
        <w:rPr>
          <w:rFonts w:ascii="Times New Roman" w:hAnsi="Times New Roman" w:cs="Times New Roman"/>
          <w:i/>
          <w:sz w:val="24"/>
          <w:szCs w:val="24"/>
          <w:lang w:val="ro-MD"/>
        </w:rPr>
      </w:pPr>
      <w:r w:rsidRPr="00FC109D">
        <w:rPr>
          <w:rFonts w:ascii="Times New Roman" w:hAnsi="Times New Roman" w:cs="Times New Roman"/>
          <w:sz w:val="24"/>
          <w:szCs w:val="24"/>
          <w:lang w:val="ro-MD"/>
        </w:rPr>
        <w:t xml:space="preserve"> </w:t>
      </w:r>
      <w:r w:rsidRPr="00FC109D">
        <w:rPr>
          <w:rFonts w:ascii="Times New Roman" w:hAnsi="Times New Roman" w:cs="Times New Roman"/>
          <w:i/>
          <w:sz w:val="24"/>
          <w:szCs w:val="24"/>
          <w:lang w:val="ro-MD"/>
        </w:rPr>
        <w:t>Figura 4. Clasificarea beneficiarilor MGF după domeniul de activitate</w:t>
      </w:r>
    </w:p>
    <w:p w14:paraId="3BDD052A" w14:textId="027972FA"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noProof/>
          <w:sz w:val="24"/>
          <w:szCs w:val="24"/>
          <w:lang w:eastAsia="ro-RO"/>
        </w:rPr>
        <w:drawing>
          <wp:anchor distT="0" distB="0" distL="114300" distR="114300" simplePos="0" relativeHeight="251662336" behindDoc="0" locked="0" layoutInCell="1" allowOverlap="1" wp14:anchorId="1BBC304E" wp14:editId="4E2AC54F">
            <wp:simplePos x="0" y="0"/>
            <wp:positionH relativeFrom="margin">
              <wp:posOffset>39370</wp:posOffset>
            </wp:positionH>
            <wp:positionV relativeFrom="margin">
              <wp:posOffset>931545</wp:posOffset>
            </wp:positionV>
            <wp:extent cx="3743325" cy="2969260"/>
            <wp:effectExtent l="0" t="0" r="9525" b="254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3325" cy="2969260"/>
                    </a:xfrm>
                    <a:prstGeom prst="rect">
                      <a:avLst/>
                    </a:prstGeom>
                    <a:noFill/>
                  </pic:spPr>
                </pic:pic>
              </a:graphicData>
            </a:graphic>
            <wp14:sizeRelH relativeFrom="margin">
              <wp14:pctWidth>0</wp14:pctWidth>
            </wp14:sizeRelH>
            <wp14:sizeRelV relativeFrom="margin">
              <wp14:pctHeight>0</wp14:pctHeight>
            </wp14:sizeRelV>
          </wp:anchor>
        </w:drawing>
      </w:r>
      <w:r w:rsidRPr="00FC109D">
        <w:rPr>
          <w:rFonts w:ascii="Times New Roman" w:hAnsi="Times New Roman" w:cs="Times New Roman"/>
          <w:sz w:val="24"/>
          <w:szCs w:val="24"/>
          <w:lang w:val="ro-MD"/>
        </w:rPr>
        <w:t xml:space="preserve">Majoritatea </w:t>
      </w:r>
      <w:proofErr w:type="spellStart"/>
      <w:r w:rsidR="00211411">
        <w:rPr>
          <w:rFonts w:ascii="Times New Roman" w:hAnsi="Times New Roman" w:cs="Times New Roman"/>
          <w:sz w:val="24"/>
          <w:szCs w:val="24"/>
          <w:lang w:val="ro-MD"/>
        </w:rPr>
        <w:t>beneficirilor</w:t>
      </w:r>
      <w:r w:rsidRPr="00FC109D">
        <w:rPr>
          <w:rFonts w:ascii="Times New Roman" w:hAnsi="Times New Roman" w:cs="Times New Roman"/>
          <w:sz w:val="24"/>
          <w:szCs w:val="24"/>
          <w:lang w:val="ro-MD"/>
        </w:rPr>
        <w:t>sunt</w:t>
      </w:r>
      <w:proofErr w:type="spellEnd"/>
      <w:r w:rsidRPr="00FC109D">
        <w:rPr>
          <w:rFonts w:ascii="Times New Roman" w:hAnsi="Times New Roman" w:cs="Times New Roman"/>
          <w:sz w:val="24"/>
          <w:szCs w:val="24"/>
          <w:lang w:val="ro-MD"/>
        </w:rPr>
        <w:t xml:space="preserve"> din domeniul industriei alimentare și producerea băuturilor  (28 procente din numărul solicitărilor aprobate), fiind urmați de cei din sectorul agricol (23 procente). Alte patru sectoare  - fabricarea articolelor de îmbrăcăminte, producerea de containere si ambalaje, servicii, precum și producerea articolelor electronice și mecanice –</w:t>
      </w:r>
      <w:r w:rsidR="00CD0ED1">
        <w:rPr>
          <w:rFonts w:ascii="Times New Roman" w:hAnsi="Times New Roman" w:cs="Times New Roman"/>
          <w:sz w:val="24"/>
          <w:szCs w:val="24"/>
          <w:lang w:val="ro-MD"/>
        </w:rPr>
        <w:t xml:space="preserve"> </w:t>
      </w:r>
      <w:r w:rsidRPr="00FC109D">
        <w:rPr>
          <w:rFonts w:ascii="Times New Roman" w:hAnsi="Times New Roman" w:cs="Times New Roman"/>
          <w:sz w:val="24"/>
          <w:szCs w:val="24"/>
          <w:lang w:val="ro-MD"/>
        </w:rPr>
        <w:t xml:space="preserve">reprezintă împreună 38 procente din beneficiari. De asemenea, întreprinderile din alte sectoare (producerea măturilor, poliuretanului, filtrelor de apă, articolelor de mobilă ș.a.) sunt interesate în componenta de </w:t>
      </w:r>
      <w:proofErr w:type="spellStart"/>
      <w:r w:rsidRPr="00FC109D">
        <w:rPr>
          <w:rFonts w:ascii="Times New Roman" w:hAnsi="Times New Roman" w:cs="Times New Roman"/>
          <w:sz w:val="24"/>
          <w:szCs w:val="24"/>
          <w:lang w:val="ro-MD"/>
        </w:rPr>
        <w:t>co</w:t>
      </w:r>
      <w:proofErr w:type="spellEnd"/>
      <w:r w:rsidRPr="00FC109D">
        <w:rPr>
          <w:rFonts w:ascii="Times New Roman" w:hAnsi="Times New Roman" w:cs="Times New Roman"/>
          <w:sz w:val="24"/>
          <w:szCs w:val="24"/>
          <w:lang w:val="ro-MD"/>
        </w:rPr>
        <w:t xml:space="preserve">-finanțare prin grant (5%). </w:t>
      </w:r>
    </w:p>
    <w:p w14:paraId="291BEF0E"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Obiectivul sub-componentei MGF este de a acorda suport IMM-urilor în accesarea Serviciilor de Dezvoltare a Afacerii (SDA). Astfel, PÎA sunt orientate spre atingerea unor obiective intermediare, la finalul implementării proiectului.</w:t>
      </w:r>
    </w:p>
    <w:p w14:paraId="2FAEBAE9" w14:textId="0D39060C"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sz w:val="24"/>
          <w:szCs w:val="24"/>
          <w:lang w:val="ro-MD"/>
        </w:rPr>
        <w:t>Figura 5. Obiective de atins de către beneficiarii MGF</w:t>
      </w:r>
    </w:p>
    <w:p w14:paraId="5D4559C7" w14:textId="165F0778" w:rsidR="00C432A0" w:rsidRPr="00FC109D" w:rsidRDefault="00F225E9"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noProof/>
          <w:sz w:val="24"/>
          <w:szCs w:val="24"/>
          <w:lang w:eastAsia="ro-RO"/>
        </w:rPr>
        <w:drawing>
          <wp:anchor distT="0" distB="0" distL="114300" distR="114300" simplePos="0" relativeHeight="251663360" behindDoc="0" locked="0" layoutInCell="1" allowOverlap="1" wp14:anchorId="1C5DF106" wp14:editId="0BF776FC">
            <wp:simplePos x="0" y="0"/>
            <wp:positionH relativeFrom="margin">
              <wp:posOffset>-75565</wp:posOffset>
            </wp:positionH>
            <wp:positionV relativeFrom="margin">
              <wp:posOffset>5750560</wp:posOffset>
            </wp:positionV>
            <wp:extent cx="4015105" cy="2053590"/>
            <wp:effectExtent l="0" t="0" r="4445"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5105" cy="2053590"/>
                    </a:xfrm>
                    <a:prstGeom prst="rect">
                      <a:avLst/>
                    </a:prstGeom>
                    <a:noFill/>
                  </pic:spPr>
                </pic:pic>
              </a:graphicData>
            </a:graphic>
            <wp14:sizeRelH relativeFrom="margin">
              <wp14:pctWidth>0</wp14:pctWidth>
            </wp14:sizeRelH>
            <wp14:sizeRelV relativeFrom="margin">
              <wp14:pctHeight>0</wp14:pctHeight>
            </wp14:sizeRelV>
          </wp:anchor>
        </w:drawing>
      </w:r>
      <w:r w:rsidR="00C432A0" w:rsidRPr="00FC109D">
        <w:rPr>
          <w:rFonts w:ascii="Times New Roman" w:hAnsi="Times New Roman" w:cs="Times New Roman"/>
          <w:sz w:val="24"/>
          <w:szCs w:val="24"/>
          <w:lang w:val="ro-MD"/>
        </w:rPr>
        <w:t xml:space="preserve">În conformitate cu obiectivele stipulate de beneficiari la etapa de aplicare, acestea au fost grupate în funcție de numărul de </w:t>
      </w:r>
      <w:r w:rsidR="00CD0ED1">
        <w:rPr>
          <w:rFonts w:ascii="Times New Roman" w:hAnsi="Times New Roman" w:cs="Times New Roman"/>
          <w:sz w:val="24"/>
          <w:szCs w:val="24"/>
          <w:lang w:val="ro-MD"/>
        </w:rPr>
        <w:t>cazuri în care un</w:t>
      </w:r>
      <w:r w:rsidR="00C432A0" w:rsidRPr="00FC109D">
        <w:rPr>
          <w:rFonts w:ascii="Times New Roman" w:hAnsi="Times New Roman" w:cs="Times New Roman"/>
          <w:sz w:val="24"/>
          <w:szCs w:val="24"/>
          <w:lang w:val="ro-MD"/>
        </w:rPr>
        <w:t xml:space="preserve"> anumit obiectiv a fost selectat ca unul țintă.</w:t>
      </w:r>
    </w:p>
    <w:p w14:paraId="48921F07" w14:textId="17732A5E"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Prin urmare, graficul din Figura 5 arată că exportul către noi piețe și noi clienți este de o importanță majoră pentru beneficiari MGF, urmat de al</w:t>
      </w:r>
      <w:r w:rsidR="009C70CF">
        <w:rPr>
          <w:rFonts w:ascii="Times New Roman" w:hAnsi="Times New Roman" w:cs="Times New Roman"/>
          <w:sz w:val="24"/>
          <w:szCs w:val="24"/>
          <w:lang w:val="ro-MD"/>
        </w:rPr>
        <w:t>te obiective ale</w:t>
      </w:r>
      <w:r w:rsidRPr="00FC109D">
        <w:rPr>
          <w:rFonts w:ascii="Times New Roman" w:hAnsi="Times New Roman" w:cs="Times New Roman"/>
          <w:sz w:val="24"/>
          <w:szCs w:val="24"/>
          <w:lang w:val="ro-MD"/>
        </w:rPr>
        <w:t xml:space="preserve"> beneficiari</w:t>
      </w:r>
      <w:r w:rsidR="009C70CF">
        <w:rPr>
          <w:rFonts w:ascii="Times New Roman" w:hAnsi="Times New Roman" w:cs="Times New Roman"/>
          <w:sz w:val="24"/>
          <w:szCs w:val="24"/>
          <w:lang w:val="ro-MD"/>
        </w:rPr>
        <w:t>lor</w:t>
      </w:r>
      <w:r w:rsidRPr="00FC109D">
        <w:rPr>
          <w:rFonts w:ascii="Times New Roman" w:hAnsi="Times New Roman" w:cs="Times New Roman"/>
          <w:sz w:val="24"/>
          <w:szCs w:val="24"/>
          <w:lang w:val="ro-MD"/>
        </w:rPr>
        <w:t>, care planifică, urmare a participării în cadrul sub-componentei MGF, să exporte pentru prima dată.</w:t>
      </w:r>
    </w:p>
    <w:p w14:paraId="28BD336D" w14:textId="77777777" w:rsidR="00C432A0" w:rsidRPr="00FC109D" w:rsidRDefault="00C432A0" w:rsidP="00C432A0">
      <w:pPr>
        <w:spacing w:line="276" w:lineRule="auto"/>
        <w:jc w:val="both"/>
        <w:rPr>
          <w:rFonts w:ascii="Times New Roman" w:hAnsi="Times New Roman" w:cs="Times New Roman"/>
          <w:i/>
          <w:sz w:val="24"/>
          <w:szCs w:val="24"/>
          <w:lang w:val="ro-MD"/>
        </w:rPr>
      </w:pPr>
      <w:r w:rsidRPr="00FC109D">
        <w:rPr>
          <w:rFonts w:ascii="Times New Roman" w:hAnsi="Times New Roman" w:cs="Times New Roman"/>
          <w:sz w:val="24"/>
          <w:szCs w:val="24"/>
          <w:lang w:val="ro-MD"/>
        </w:rPr>
        <w:t>În plus, pentru o mai bună înțelegere a potențialului beneficiarilor MGF de a atinge obiectivele menționate mai sus, pregătirea lor de a exporta a fost analizată și prezentată în graficul de mai jos.</w:t>
      </w:r>
      <w:r w:rsidRPr="00FC109D">
        <w:rPr>
          <w:rFonts w:ascii="Times New Roman" w:hAnsi="Times New Roman" w:cs="Times New Roman"/>
          <w:i/>
          <w:sz w:val="24"/>
          <w:szCs w:val="24"/>
          <w:lang w:val="ro-MD"/>
        </w:rPr>
        <w:t xml:space="preserve"> </w:t>
      </w:r>
    </w:p>
    <w:p w14:paraId="7D6A94F1"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sz w:val="24"/>
          <w:szCs w:val="24"/>
          <w:lang w:val="ro-MD"/>
        </w:rPr>
        <w:t>Figura 6. Pregătirea pentru export a beneficiarilor MGF</w:t>
      </w:r>
      <w:r w:rsidRPr="00FC109D">
        <w:rPr>
          <w:rFonts w:ascii="Times New Roman" w:hAnsi="Times New Roman" w:cs="Times New Roman"/>
          <w:sz w:val="24"/>
          <w:szCs w:val="24"/>
          <w:lang w:val="ro-MD"/>
        </w:rPr>
        <w:t xml:space="preserve"> </w:t>
      </w:r>
    </w:p>
    <w:p w14:paraId="7CE0D22A"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noProof/>
          <w:sz w:val="24"/>
          <w:szCs w:val="24"/>
          <w:lang w:eastAsia="ro-RO"/>
        </w:rPr>
        <w:lastRenderedPageBreak/>
        <w:drawing>
          <wp:anchor distT="0" distB="0" distL="114300" distR="114300" simplePos="0" relativeHeight="251664384" behindDoc="0" locked="0" layoutInCell="1" allowOverlap="1" wp14:anchorId="6610EEF5" wp14:editId="0E2924BC">
            <wp:simplePos x="0" y="0"/>
            <wp:positionH relativeFrom="margin">
              <wp:posOffset>-55880</wp:posOffset>
            </wp:positionH>
            <wp:positionV relativeFrom="margin">
              <wp:posOffset>337185</wp:posOffset>
            </wp:positionV>
            <wp:extent cx="3317240" cy="20193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7240" cy="2019300"/>
                    </a:xfrm>
                    <a:prstGeom prst="rect">
                      <a:avLst/>
                    </a:prstGeom>
                    <a:noFill/>
                  </pic:spPr>
                </pic:pic>
              </a:graphicData>
            </a:graphic>
            <wp14:sizeRelH relativeFrom="margin">
              <wp14:pctWidth>0</wp14:pctWidth>
            </wp14:sizeRelH>
            <wp14:sizeRelV relativeFrom="margin">
              <wp14:pctHeight>0</wp14:pctHeight>
            </wp14:sizeRelV>
          </wp:anchor>
        </w:drawing>
      </w:r>
      <w:r w:rsidRPr="00FC109D">
        <w:rPr>
          <w:rFonts w:ascii="Times New Roman" w:hAnsi="Times New Roman" w:cs="Times New Roman"/>
          <w:sz w:val="24"/>
          <w:szCs w:val="24"/>
          <w:lang w:val="ro-MD"/>
        </w:rPr>
        <w:t>Din 21 de întreprinderi, care sunt gata să exporte, 17 întreprinderi au înregistrat deja, la momentul depunerii solicitării, o anumită experiență de export a produselor / serviciilor.</w:t>
      </w:r>
    </w:p>
    <w:p w14:paraId="03DD211A"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Mai mult decât atât, în funcție de tipul de export, beneficiarii MGF au fost clasificați după cum urmează:</w:t>
      </w:r>
    </w:p>
    <w:p w14:paraId="5B72F592" w14:textId="77777777" w:rsidR="00C432A0" w:rsidRPr="00FC109D" w:rsidRDefault="00C432A0" w:rsidP="00C432A0">
      <w:pPr>
        <w:spacing w:line="276" w:lineRule="auto"/>
        <w:ind w:left="2124"/>
        <w:jc w:val="both"/>
        <w:rPr>
          <w:rFonts w:ascii="Times New Roman" w:hAnsi="Times New Roman" w:cs="Times New Roman"/>
          <w:i/>
          <w:sz w:val="24"/>
          <w:szCs w:val="24"/>
          <w:lang w:val="ro-MD"/>
        </w:rPr>
      </w:pPr>
    </w:p>
    <w:p w14:paraId="5EB0017E" w14:textId="77777777" w:rsidR="00F225E9" w:rsidRPr="00FC109D" w:rsidRDefault="00F225E9" w:rsidP="00C432A0">
      <w:pPr>
        <w:spacing w:line="276" w:lineRule="auto"/>
        <w:ind w:left="2124"/>
        <w:jc w:val="both"/>
        <w:rPr>
          <w:rFonts w:ascii="Times New Roman" w:hAnsi="Times New Roman" w:cs="Times New Roman"/>
          <w:i/>
          <w:sz w:val="24"/>
          <w:szCs w:val="24"/>
          <w:lang w:val="ro-MD"/>
        </w:rPr>
      </w:pPr>
    </w:p>
    <w:p w14:paraId="554B8BF4" w14:textId="77777777" w:rsidR="00C432A0" w:rsidRPr="00FC109D" w:rsidRDefault="00C432A0" w:rsidP="00C432A0">
      <w:pPr>
        <w:spacing w:line="276" w:lineRule="auto"/>
        <w:ind w:left="2124"/>
        <w:jc w:val="both"/>
        <w:rPr>
          <w:rFonts w:ascii="Times New Roman" w:hAnsi="Times New Roman" w:cs="Times New Roman"/>
          <w:i/>
          <w:noProof/>
          <w:sz w:val="24"/>
          <w:szCs w:val="24"/>
          <w:lang w:val="ro-MD" w:eastAsia="ro-RO"/>
        </w:rPr>
      </w:pPr>
      <w:r w:rsidRPr="00FC109D">
        <w:rPr>
          <w:rFonts w:ascii="Times New Roman" w:hAnsi="Times New Roman" w:cs="Times New Roman"/>
          <w:i/>
          <w:sz w:val="24"/>
          <w:szCs w:val="24"/>
          <w:lang w:val="ro-MD"/>
        </w:rPr>
        <w:t>Figura 7. Distribuirea beneficiarilor MGF după tipul de exportator</w:t>
      </w:r>
      <w:r w:rsidRPr="00FC109D">
        <w:rPr>
          <w:rFonts w:ascii="Times New Roman" w:hAnsi="Times New Roman" w:cs="Times New Roman"/>
          <w:noProof/>
          <w:sz w:val="24"/>
          <w:szCs w:val="24"/>
          <w:lang w:val="ro-MD" w:eastAsia="ro-RO"/>
        </w:rPr>
        <w:t xml:space="preserve"> </w:t>
      </w:r>
      <w:r w:rsidRPr="00FC109D">
        <w:rPr>
          <w:rFonts w:ascii="Times New Roman" w:hAnsi="Times New Roman" w:cs="Times New Roman"/>
          <w:i/>
          <w:noProof/>
          <w:sz w:val="24"/>
          <w:szCs w:val="24"/>
          <w:lang w:val="ro-MD" w:eastAsia="ro-RO"/>
        </w:rPr>
        <w:t xml:space="preserve">                                      </w:t>
      </w:r>
    </w:p>
    <w:p w14:paraId="4E45019B"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noProof/>
          <w:sz w:val="24"/>
          <w:szCs w:val="24"/>
          <w:lang w:eastAsia="ro-RO"/>
        </w:rPr>
        <w:drawing>
          <wp:anchor distT="0" distB="0" distL="114300" distR="114300" simplePos="0" relativeHeight="251665408" behindDoc="0" locked="0" layoutInCell="1" allowOverlap="1" wp14:anchorId="0E2D4B85" wp14:editId="33F089FC">
            <wp:simplePos x="0" y="0"/>
            <wp:positionH relativeFrom="margin">
              <wp:align>right</wp:align>
            </wp:positionH>
            <wp:positionV relativeFrom="margin">
              <wp:posOffset>3143646</wp:posOffset>
            </wp:positionV>
            <wp:extent cx="3283585" cy="197104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8375" cy="1974215"/>
                    </a:xfrm>
                    <a:prstGeom prst="rect">
                      <a:avLst/>
                    </a:prstGeom>
                    <a:noFill/>
                  </pic:spPr>
                </pic:pic>
              </a:graphicData>
            </a:graphic>
            <wp14:sizeRelH relativeFrom="margin">
              <wp14:pctWidth>0</wp14:pctWidth>
            </wp14:sizeRelH>
            <wp14:sizeRelV relativeFrom="margin">
              <wp14:pctHeight>0</wp14:pctHeight>
            </wp14:sizeRelV>
          </wp:anchor>
        </w:drawing>
      </w:r>
      <w:r w:rsidRPr="00FC109D">
        <w:rPr>
          <w:rFonts w:ascii="Times New Roman" w:hAnsi="Times New Roman" w:cs="Times New Roman"/>
          <w:sz w:val="24"/>
          <w:szCs w:val="24"/>
          <w:lang w:val="ro-MD"/>
        </w:rPr>
        <w:t>Cu siguranță, se preconizează ca grantul primit să ajute IMM-urile să se pregătească pentru export și/sau să exporte direct către noi piețe și noi clienți.</w:t>
      </w:r>
    </w:p>
    <w:p w14:paraId="485B7BB6" w14:textId="010DC260"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Luând în considerație situația prestatorilor de servicii în afaceri (PSA) din Moldova, UIPAC, prin intermediul sub-componentei MGF, va contribui la dezvoltarea pieței SDA și la soluționarea deficiențel</w:t>
      </w:r>
      <w:r w:rsidR="009C70CF">
        <w:rPr>
          <w:rFonts w:ascii="Times New Roman" w:hAnsi="Times New Roman" w:cs="Times New Roman"/>
          <w:sz w:val="24"/>
          <w:szCs w:val="24"/>
          <w:lang w:val="ro-MD"/>
        </w:rPr>
        <w:t>or</w:t>
      </w:r>
      <w:r w:rsidRPr="00FC109D">
        <w:rPr>
          <w:rFonts w:ascii="Times New Roman" w:hAnsi="Times New Roman" w:cs="Times New Roman"/>
          <w:sz w:val="24"/>
          <w:szCs w:val="24"/>
          <w:lang w:val="ro-MD"/>
        </w:rPr>
        <w:t xml:space="preserve"> identificate pe această piață.</w:t>
      </w:r>
    </w:p>
    <w:p w14:paraId="78A5DE3D" w14:textId="32314A66"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Din moment ce un PÎA constă dintr-un set de servicii de dezvoltare a afacerii, menite să faciliteze accesul IMM-urilor la piața SDA</w:t>
      </w:r>
      <w:r w:rsidR="009C70CF">
        <w:rPr>
          <w:rFonts w:ascii="Times New Roman" w:hAnsi="Times New Roman" w:cs="Times New Roman"/>
          <w:sz w:val="24"/>
          <w:szCs w:val="24"/>
          <w:lang w:val="ro-MD"/>
        </w:rPr>
        <w:t>,</w:t>
      </w:r>
      <w:r w:rsidRPr="00FC109D">
        <w:rPr>
          <w:rFonts w:ascii="Times New Roman" w:hAnsi="Times New Roman" w:cs="Times New Roman"/>
          <w:sz w:val="24"/>
          <w:szCs w:val="24"/>
          <w:lang w:val="ro-MD"/>
        </w:rPr>
        <w:t xml:space="preserve"> acestea sunt grupate în funcție de nevoile prioritare identificate de către antreprenori la etapa de aplicare.</w:t>
      </w:r>
    </w:p>
    <w:p w14:paraId="0E4BC44C" w14:textId="16630EB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sz w:val="24"/>
          <w:szCs w:val="24"/>
          <w:lang w:val="ro-MD"/>
        </w:rPr>
        <w:t>Figura 8. Servicii de Dezvoltare a Afacerii</w:t>
      </w:r>
    </w:p>
    <w:p w14:paraId="0BB64E16" w14:textId="12383915"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noProof/>
          <w:sz w:val="24"/>
          <w:szCs w:val="24"/>
          <w:lang w:eastAsia="ro-RO"/>
        </w:rPr>
        <w:drawing>
          <wp:anchor distT="0" distB="0" distL="114300" distR="114300" simplePos="0" relativeHeight="251666432" behindDoc="0" locked="0" layoutInCell="1" allowOverlap="1" wp14:anchorId="57D73B04" wp14:editId="6456E6B1">
            <wp:simplePos x="0" y="0"/>
            <wp:positionH relativeFrom="margin">
              <wp:posOffset>-55880</wp:posOffset>
            </wp:positionH>
            <wp:positionV relativeFrom="margin">
              <wp:posOffset>6464935</wp:posOffset>
            </wp:positionV>
            <wp:extent cx="4039870" cy="1979295"/>
            <wp:effectExtent l="0" t="0" r="0" b="190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9870" cy="1979295"/>
                    </a:xfrm>
                    <a:prstGeom prst="rect">
                      <a:avLst/>
                    </a:prstGeom>
                    <a:noFill/>
                  </pic:spPr>
                </pic:pic>
              </a:graphicData>
            </a:graphic>
            <wp14:sizeRelH relativeFrom="margin">
              <wp14:pctWidth>0</wp14:pctWidth>
            </wp14:sizeRelH>
            <wp14:sizeRelV relativeFrom="margin">
              <wp14:pctHeight>0</wp14:pctHeight>
            </wp14:sizeRelV>
          </wp:anchor>
        </w:drawing>
      </w:r>
      <w:r w:rsidRPr="00FC109D">
        <w:rPr>
          <w:rFonts w:ascii="Times New Roman" w:hAnsi="Times New Roman" w:cs="Times New Roman"/>
          <w:sz w:val="24"/>
          <w:szCs w:val="24"/>
          <w:lang w:val="ro-MD"/>
        </w:rPr>
        <w:t>În primul rând, beneficiarii MGF pun accentul pe îmbunătățirea procesel</w:t>
      </w:r>
      <w:r w:rsidR="009C70CF">
        <w:rPr>
          <w:rFonts w:ascii="Times New Roman" w:hAnsi="Times New Roman" w:cs="Times New Roman"/>
          <w:sz w:val="24"/>
          <w:szCs w:val="24"/>
          <w:lang w:val="ro-MD"/>
        </w:rPr>
        <w:t>or</w:t>
      </w:r>
      <w:r w:rsidRPr="00FC109D">
        <w:rPr>
          <w:rFonts w:ascii="Times New Roman" w:hAnsi="Times New Roman" w:cs="Times New Roman"/>
          <w:sz w:val="24"/>
          <w:szCs w:val="24"/>
          <w:lang w:val="ro-MD"/>
        </w:rPr>
        <w:t xml:space="preserve"> de management și a produselor / serviciilor existente. În al doilea rând, unele IMM-uri consideră că îmbunătățirea proceselor de producție poate spori șansele de a ieși la export și / sau de a eficientiza exportul. De asem</w:t>
      </w:r>
      <w:r w:rsidR="009C70CF">
        <w:rPr>
          <w:rFonts w:ascii="Times New Roman" w:hAnsi="Times New Roman" w:cs="Times New Roman"/>
          <w:sz w:val="24"/>
          <w:szCs w:val="24"/>
          <w:lang w:val="ro-MD"/>
        </w:rPr>
        <w:t>e</w:t>
      </w:r>
      <w:r w:rsidRPr="00FC109D">
        <w:rPr>
          <w:rFonts w:ascii="Times New Roman" w:hAnsi="Times New Roman" w:cs="Times New Roman"/>
          <w:sz w:val="24"/>
          <w:szCs w:val="24"/>
          <w:lang w:val="ro-MD"/>
        </w:rPr>
        <w:t>nea, prin dezvoltarea de noi produse sau servicii, o întreprindere poate deveni mai competitivă și obține atenția noilor clienți sau obține acces la noi piețe de desfacere.</w:t>
      </w:r>
    </w:p>
    <w:p w14:paraId="6BDE577D" w14:textId="75A39F40"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lastRenderedPageBreak/>
        <w:t xml:space="preserve">În perioada de raportare, în conformitate cu PÎA-uri, cei 43 de </w:t>
      </w:r>
      <w:proofErr w:type="spellStart"/>
      <w:r w:rsidR="00211411">
        <w:rPr>
          <w:rFonts w:ascii="Times New Roman" w:hAnsi="Times New Roman" w:cs="Times New Roman"/>
          <w:sz w:val="24"/>
          <w:szCs w:val="24"/>
          <w:lang w:val="ro-MD"/>
        </w:rPr>
        <w:t>beneficiri</w:t>
      </w:r>
      <w:proofErr w:type="spellEnd"/>
      <w:r w:rsidR="00211411" w:rsidRPr="00FC109D">
        <w:rPr>
          <w:rFonts w:ascii="Times New Roman" w:hAnsi="Times New Roman" w:cs="Times New Roman"/>
          <w:sz w:val="24"/>
          <w:szCs w:val="24"/>
          <w:lang w:val="ro-MD"/>
        </w:rPr>
        <w:t xml:space="preserve"> </w:t>
      </w:r>
      <w:r w:rsidRPr="00FC109D">
        <w:rPr>
          <w:rFonts w:ascii="Times New Roman" w:hAnsi="Times New Roman" w:cs="Times New Roman"/>
          <w:sz w:val="24"/>
          <w:szCs w:val="24"/>
          <w:lang w:val="ro-MD"/>
        </w:rPr>
        <w:t>aprobați planifică să beneficieze cumulativ de 396 de servicii. Acestea pot fi clasificate în funcție de activitățile care urmează să fie realizate după cum este reprezentat în Figura 9 de mai jos.</w:t>
      </w:r>
    </w:p>
    <w:p w14:paraId="4BCF4AC6" w14:textId="77777777" w:rsidR="00C432A0" w:rsidRPr="00FC109D" w:rsidRDefault="00C432A0" w:rsidP="00C432A0">
      <w:pPr>
        <w:spacing w:line="276" w:lineRule="auto"/>
        <w:jc w:val="center"/>
        <w:rPr>
          <w:rFonts w:ascii="Times New Roman" w:hAnsi="Times New Roman" w:cs="Times New Roman"/>
          <w:i/>
          <w:sz w:val="24"/>
          <w:szCs w:val="24"/>
          <w:lang w:val="ro-MD"/>
        </w:rPr>
      </w:pPr>
      <w:r w:rsidRPr="00FC109D">
        <w:rPr>
          <w:rFonts w:ascii="Times New Roman" w:hAnsi="Times New Roman" w:cs="Times New Roman"/>
          <w:i/>
          <w:sz w:val="24"/>
          <w:szCs w:val="24"/>
          <w:lang w:val="ro-MD"/>
        </w:rPr>
        <w:t>Figura 9. Clasificarea Serviciilor de Dezvoltare a Afacerilor</w:t>
      </w:r>
    </w:p>
    <w:p w14:paraId="6A746B37" w14:textId="77777777" w:rsidR="00C432A0" w:rsidRPr="00FC109D" w:rsidRDefault="00C432A0" w:rsidP="00C432A0">
      <w:pPr>
        <w:spacing w:line="276" w:lineRule="auto"/>
        <w:jc w:val="center"/>
        <w:rPr>
          <w:rFonts w:ascii="Times New Roman" w:hAnsi="Times New Roman" w:cs="Times New Roman"/>
          <w:sz w:val="24"/>
          <w:szCs w:val="24"/>
          <w:lang w:val="ro-MD"/>
        </w:rPr>
      </w:pPr>
      <w:r w:rsidRPr="00FC109D">
        <w:rPr>
          <w:rFonts w:ascii="Times New Roman" w:hAnsi="Times New Roman" w:cs="Times New Roman"/>
          <w:noProof/>
          <w:sz w:val="24"/>
          <w:szCs w:val="24"/>
          <w:lang w:eastAsia="ro-RO"/>
        </w:rPr>
        <w:drawing>
          <wp:inline distT="0" distB="0" distL="0" distR="0" wp14:anchorId="53FA8D80" wp14:editId="231E98B8">
            <wp:extent cx="4531939" cy="3058943"/>
            <wp:effectExtent l="0" t="0" r="254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3178" cy="3066529"/>
                    </a:xfrm>
                    <a:prstGeom prst="rect">
                      <a:avLst/>
                    </a:prstGeom>
                    <a:noFill/>
                  </pic:spPr>
                </pic:pic>
              </a:graphicData>
            </a:graphic>
          </wp:inline>
        </w:drawing>
      </w:r>
    </w:p>
    <w:p w14:paraId="0F41FC4B" w14:textId="77777777" w:rsidR="00C432A0" w:rsidRPr="00FC109D" w:rsidRDefault="00C432A0" w:rsidP="00C432A0">
      <w:pPr>
        <w:spacing w:line="276" w:lineRule="auto"/>
        <w:jc w:val="both"/>
        <w:rPr>
          <w:rFonts w:ascii="Times New Roman" w:hAnsi="Times New Roman" w:cs="Times New Roman"/>
          <w:b/>
          <w:i/>
          <w:sz w:val="24"/>
          <w:szCs w:val="24"/>
          <w:u w:val="single"/>
          <w:lang w:val="ro-MD"/>
        </w:rPr>
      </w:pPr>
      <w:r w:rsidRPr="00FC109D">
        <w:rPr>
          <w:rFonts w:ascii="Times New Roman" w:hAnsi="Times New Roman" w:cs="Times New Roman"/>
          <w:b/>
          <w:i/>
          <w:sz w:val="24"/>
          <w:szCs w:val="24"/>
          <w:u w:val="single"/>
          <w:lang w:val="ro-MD"/>
        </w:rPr>
        <w:t>Analiza efectelor de mediu</w:t>
      </w:r>
    </w:p>
    <w:p w14:paraId="71787E84"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Este de menționat faptul că toate cele 43 de proiecte MGF au fost revizuite și aprobate de către expertul UIPAC pe mediu la etapa de examinare, fiind calificate în categoria C, întreprinderi care nu generează nici un impact negativ asupra mediului sau unul nesemnificativ.</w:t>
      </w:r>
    </w:p>
    <w:p w14:paraId="369A93C7" w14:textId="451D95B3"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sz w:val="24"/>
          <w:szCs w:val="24"/>
          <w:lang w:val="ro-MD"/>
        </w:rPr>
        <w:t>Figura 10. Distribuția beneficiarilor MGF după gen</w:t>
      </w:r>
      <w:r w:rsidRPr="00FC109D">
        <w:rPr>
          <w:rFonts w:ascii="Times New Roman" w:hAnsi="Times New Roman" w:cs="Times New Roman"/>
          <w:i/>
          <w:noProof/>
          <w:sz w:val="24"/>
          <w:szCs w:val="24"/>
          <w:lang w:val="ro-MD" w:eastAsia="ro-RO"/>
        </w:rPr>
        <w:t xml:space="preserve"> </w:t>
      </w:r>
    </w:p>
    <w:p w14:paraId="6323FCA7" w14:textId="1B04DF2D" w:rsidR="00C432A0" w:rsidRPr="00FC109D" w:rsidRDefault="00F225E9"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i/>
          <w:noProof/>
          <w:sz w:val="24"/>
          <w:szCs w:val="24"/>
          <w:lang w:eastAsia="ro-RO"/>
        </w:rPr>
        <w:drawing>
          <wp:anchor distT="0" distB="0" distL="114300" distR="114300" simplePos="0" relativeHeight="251667456" behindDoc="0" locked="0" layoutInCell="1" allowOverlap="1" wp14:anchorId="550069CB" wp14:editId="2DF10FC7">
            <wp:simplePos x="0" y="0"/>
            <wp:positionH relativeFrom="margin">
              <wp:posOffset>-73025</wp:posOffset>
            </wp:positionH>
            <wp:positionV relativeFrom="margin">
              <wp:posOffset>5786120</wp:posOffset>
            </wp:positionV>
            <wp:extent cx="2933700" cy="2035175"/>
            <wp:effectExtent l="0" t="0" r="0" b="3175"/>
            <wp:wrapSquare wrapText="bothSides"/>
            <wp:docPr id="20" name="Рисунок 20" descr="C:\Users\Operator\Desktop\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perator\Desktop\rrr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0"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2A0" w:rsidRPr="00FC109D">
        <w:rPr>
          <w:rFonts w:ascii="Times New Roman" w:hAnsi="Times New Roman" w:cs="Times New Roman"/>
          <w:b/>
          <w:i/>
          <w:sz w:val="24"/>
          <w:szCs w:val="24"/>
          <w:u w:val="single"/>
          <w:lang w:val="ro-MD"/>
        </w:rPr>
        <w:t xml:space="preserve">Aspectul de </w:t>
      </w:r>
      <w:proofErr w:type="spellStart"/>
      <w:r w:rsidR="00C432A0" w:rsidRPr="00FC109D">
        <w:rPr>
          <w:rFonts w:ascii="Times New Roman" w:hAnsi="Times New Roman" w:cs="Times New Roman"/>
          <w:b/>
          <w:i/>
          <w:sz w:val="24"/>
          <w:szCs w:val="24"/>
          <w:u w:val="single"/>
          <w:lang w:val="ro-MD"/>
        </w:rPr>
        <w:t>gender</w:t>
      </w:r>
      <w:proofErr w:type="spellEnd"/>
      <w:r w:rsidR="00C432A0" w:rsidRPr="00FC109D">
        <w:rPr>
          <w:rFonts w:ascii="Times New Roman" w:hAnsi="Times New Roman" w:cs="Times New Roman"/>
          <w:sz w:val="24"/>
          <w:szCs w:val="24"/>
          <w:lang w:val="ro-MD"/>
        </w:rPr>
        <w:t xml:space="preserve"> Acest proiect facilitează creșterea exporturilor în mai multe sectoare, dar, în special în agricultură, un sector care deține o pondere mare de ocupare a femeilor (reprezentând 23,2 la sută din totalul forței de muncă a femeilor în 2012). Prin urmare, îmbunătățirea mediului de afaceri facilitează, de asemenea, creșterea în sectorul serviciilor, care cuprinde cea mai mare pondere a femeilor angajate.</w:t>
      </w:r>
    </w:p>
    <w:p w14:paraId="76A077D1" w14:textId="66ABF398"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xml:space="preserve">În scopul de a surprinde efectele pozitive de </w:t>
      </w:r>
      <w:proofErr w:type="spellStart"/>
      <w:r w:rsidRPr="00FC109D">
        <w:rPr>
          <w:rFonts w:ascii="Times New Roman" w:hAnsi="Times New Roman" w:cs="Times New Roman"/>
          <w:sz w:val="24"/>
          <w:szCs w:val="24"/>
          <w:lang w:val="ro-MD"/>
        </w:rPr>
        <w:t>gender</w:t>
      </w:r>
      <w:proofErr w:type="spellEnd"/>
      <w:r w:rsidRPr="00FC109D">
        <w:rPr>
          <w:rFonts w:ascii="Times New Roman" w:hAnsi="Times New Roman" w:cs="Times New Roman"/>
          <w:sz w:val="24"/>
          <w:szCs w:val="24"/>
          <w:lang w:val="ro-MD"/>
        </w:rPr>
        <w:t xml:space="preserve"> ale proiectului, indicatorul privind numărul de întreprinderi fondate/administrate de femei este colectat la etapa de aplicare și este prezentat în Figura 10.</w:t>
      </w:r>
    </w:p>
    <w:p w14:paraId="05219560"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xml:space="preserve">Este de menționat că, în conformitate cu termenii acordurilor de grant încheiate cu beneficiarii, aceștia trebuie să prezinte rapoarte de progres. În acest context, în luna iulie, a fost transmis către 20 de beneficiari un raport semi-anual care urma să fie completat cu informația despre starea proiectelor la data de 30 iunie 2016. </w:t>
      </w:r>
    </w:p>
    <w:p w14:paraId="746C2E82"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lastRenderedPageBreak/>
        <w:t>Conform datelor colectate și compilate, 14 antreprenori au raportat lansarea PÎA, în timp ce 6 întreprinderi nu au înregistrat nici un progres.</w:t>
      </w:r>
    </w:p>
    <w:p w14:paraId="754118A0"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Mai mult decât atât, 4 beneficiari au dezvoltat noi produse / servicii, iar alți 4 au accesat piețe noi, cum ar fi: Lituania (prune uscate), Italia (palete), Canada (ceai de plante), România (articole de îmbrăcăminte pentru femei), și ca urmare au ajuns la noi clienți.</w:t>
      </w:r>
    </w:p>
    <w:p w14:paraId="5D5AA570"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Toate aceste rezultate au fost atinse prin:</w:t>
      </w:r>
    </w:p>
    <w:p w14:paraId="7989A881"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Îmbunătățirea proceselor de producție (implementarea standardelor, elaborarea strategiilor de marketing, îmbunătățirea infrastructurii întreprinderii și beneficierea de expertiza internațională în domeniul de activitate al întreprinderii, etc.);</w:t>
      </w:r>
    </w:p>
    <w:p w14:paraId="31124F81"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Îmbunătățirea managementului afacerii (instruirea personalului, îmbunătățirea imaginii, implementarea sistemelor informaționale, etc.).</w:t>
      </w:r>
    </w:p>
    <w:p w14:paraId="2680DE68"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Din 201 de servicii care urmează a fi contractate de cei 20 beneficiari (30 iunie 2016), 20 de servicii au fost integral realizate de 14 prestatori de servicii în afaceri, atât locali, cât și internaționali (Spania, România).</w:t>
      </w:r>
    </w:p>
    <w:tbl>
      <w:tblPr>
        <w:tblW w:w="9096" w:type="dxa"/>
        <w:jc w:val="center"/>
        <w:tblLook w:val="04A0" w:firstRow="1" w:lastRow="0" w:firstColumn="1" w:lastColumn="0" w:noHBand="0" w:noVBand="1"/>
      </w:tblPr>
      <w:tblGrid>
        <w:gridCol w:w="1409"/>
        <w:gridCol w:w="1651"/>
        <w:gridCol w:w="1978"/>
        <w:gridCol w:w="1053"/>
        <w:gridCol w:w="1514"/>
        <w:gridCol w:w="1491"/>
      </w:tblGrid>
      <w:tr w:rsidR="00C432A0" w:rsidRPr="00CD0ED1" w14:paraId="0F77848F" w14:textId="77777777" w:rsidTr="00266793">
        <w:trPr>
          <w:trHeight w:val="630"/>
          <w:jc w:val="center"/>
        </w:trPr>
        <w:tc>
          <w:tcPr>
            <w:tcW w:w="1409" w:type="dxa"/>
          </w:tcPr>
          <w:p w14:paraId="38E10DC1" w14:textId="77777777" w:rsidR="00C432A0" w:rsidRPr="00FC109D" w:rsidRDefault="00C432A0" w:rsidP="00266793">
            <w:pPr>
              <w:spacing w:line="276" w:lineRule="auto"/>
              <w:jc w:val="center"/>
              <w:rPr>
                <w:rFonts w:ascii="Times New Roman" w:hAnsi="Times New Roman" w:cs="Times New Roman"/>
                <w:sz w:val="24"/>
                <w:szCs w:val="24"/>
                <w:lang w:val="ro-MD"/>
              </w:rPr>
            </w:pPr>
          </w:p>
        </w:tc>
        <w:tc>
          <w:tcPr>
            <w:tcW w:w="1651" w:type="dxa"/>
          </w:tcPr>
          <w:p w14:paraId="2CD97404"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Moldova</w:t>
            </w:r>
          </w:p>
        </w:tc>
        <w:tc>
          <w:tcPr>
            <w:tcW w:w="1978" w:type="dxa"/>
          </w:tcPr>
          <w:p w14:paraId="2D447B32"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Internațional</w:t>
            </w:r>
          </w:p>
        </w:tc>
        <w:tc>
          <w:tcPr>
            <w:tcW w:w="1053" w:type="dxa"/>
          </w:tcPr>
          <w:p w14:paraId="3736FA6A"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Total</w:t>
            </w:r>
          </w:p>
        </w:tc>
        <w:tc>
          <w:tcPr>
            <w:tcW w:w="1514" w:type="dxa"/>
          </w:tcPr>
          <w:p w14:paraId="533198C3"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Persoană juridică</w:t>
            </w:r>
          </w:p>
        </w:tc>
        <w:tc>
          <w:tcPr>
            <w:tcW w:w="1491" w:type="dxa"/>
          </w:tcPr>
          <w:p w14:paraId="30BE4C07"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Persoană fizică</w:t>
            </w:r>
          </w:p>
        </w:tc>
      </w:tr>
      <w:tr w:rsidR="00C432A0" w:rsidRPr="00CD0ED1" w14:paraId="4D8F36BC" w14:textId="77777777" w:rsidTr="00266793">
        <w:trPr>
          <w:trHeight w:val="315"/>
          <w:jc w:val="center"/>
        </w:trPr>
        <w:tc>
          <w:tcPr>
            <w:tcW w:w="1409" w:type="dxa"/>
          </w:tcPr>
          <w:p w14:paraId="77251785" w14:textId="77777777" w:rsidR="00C432A0" w:rsidRPr="00FC109D" w:rsidRDefault="00C432A0" w:rsidP="00266793">
            <w:pPr>
              <w:spacing w:line="276" w:lineRule="auto"/>
              <w:jc w:val="center"/>
              <w:rPr>
                <w:rFonts w:ascii="Times New Roman" w:hAnsi="Times New Roman" w:cs="Times New Roman"/>
                <w:sz w:val="24"/>
                <w:szCs w:val="24"/>
                <w:lang w:val="ro-MD"/>
              </w:rPr>
            </w:pPr>
            <w:r w:rsidRPr="00FC109D">
              <w:rPr>
                <w:rFonts w:ascii="Times New Roman" w:hAnsi="Times New Roman" w:cs="Times New Roman"/>
                <w:sz w:val="24"/>
                <w:szCs w:val="24"/>
                <w:lang w:val="ro-MD"/>
              </w:rPr>
              <w:t>PSA</w:t>
            </w:r>
          </w:p>
        </w:tc>
        <w:tc>
          <w:tcPr>
            <w:tcW w:w="1651" w:type="dxa"/>
          </w:tcPr>
          <w:p w14:paraId="650444A5"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11</w:t>
            </w:r>
          </w:p>
        </w:tc>
        <w:tc>
          <w:tcPr>
            <w:tcW w:w="1978" w:type="dxa"/>
          </w:tcPr>
          <w:p w14:paraId="6FCA6D8B"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3</w:t>
            </w:r>
          </w:p>
        </w:tc>
        <w:tc>
          <w:tcPr>
            <w:tcW w:w="1053" w:type="dxa"/>
          </w:tcPr>
          <w:p w14:paraId="43D95426"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14</w:t>
            </w:r>
          </w:p>
        </w:tc>
        <w:tc>
          <w:tcPr>
            <w:tcW w:w="1514" w:type="dxa"/>
          </w:tcPr>
          <w:p w14:paraId="037E09F4"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13</w:t>
            </w:r>
          </w:p>
        </w:tc>
        <w:tc>
          <w:tcPr>
            <w:tcW w:w="1491" w:type="dxa"/>
          </w:tcPr>
          <w:p w14:paraId="15508872" w14:textId="77777777" w:rsidR="00C432A0" w:rsidRPr="00FC109D" w:rsidRDefault="00C432A0" w:rsidP="00266793">
            <w:pPr>
              <w:spacing w:line="276" w:lineRule="auto"/>
              <w:jc w:val="center"/>
              <w:rPr>
                <w:rFonts w:ascii="Times New Roman" w:hAnsi="Times New Roman" w:cs="Times New Roman"/>
                <w:b/>
                <w:sz w:val="24"/>
                <w:szCs w:val="24"/>
                <w:lang w:val="ro-MD"/>
              </w:rPr>
            </w:pPr>
            <w:r w:rsidRPr="00FC109D">
              <w:rPr>
                <w:rFonts w:ascii="Times New Roman" w:hAnsi="Times New Roman" w:cs="Times New Roman"/>
                <w:b/>
                <w:sz w:val="24"/>
                <w:szCs w:val="24"/>
                <w:lang w:val="ro-MD"/>
              </w:rPr>
              <w:t>1</w:t>
            </w:r>
          </w:p>
        </w:tc>
      </w:tr>
    </w:tbl>
    <w:p w14:paraId="0A33A26B" w14:textId="77777777" w:rsidR="00C432A0" w:rsidRPr="00FC109D" w:rsidRDefault="00C432A0" w:rsidP="00C432A0">
      <w:pPr>
        <w:spacing w:line="276" w:lineRule="auto"/>
        <w:jc w:val="both"/>
        <w:rPr>
          <w:rFonts w:ascii="Times New Roman" w:hAnsi="Times New Roman" w:cs="Times New Roman"/>
          <w:sz w:val="24"/>
          <w:szCs w:val="24"/>
          <w:lang w:val="ro-MD"/>
        </w:rPr>
      </w:pPr>
    </w:p>
    <w:p w14:paraId="79EA875C"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Mai mult decât atât, una din întrebările menționate în raport abordează problemele și obstacolele întâmpinate de către beneficiari. Astfel, 7 beneficiari au menționat anumite probleme cu care s-au confruntat, cum ar fi:</w:t>
      </w:r>
    </w:p>
    <w:p w14:paraId="3557BFDF"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Lipsa resurselor financiare pentru implementarea PÎA;</w:t>
      </w:r>
    </w:p>
    <w:p w14:paraId="026893C6"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Dificultatea de a identifica / selecta PSA;</w:t>
      </w:r>
    </w:p>
    <w:p w14:paraId="00F9CA88" w14:textId="3ACC1153"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Motivarea personalului de a fi instrui</w:t>
      </w:r>
      <w:r w:rsidR="009C70CF">
        <w:rPr>
          <w:rFonts w:ascii="Times New Roman" w:hAnsi="Times New Roman" w:cs="Times New Roman"/>
          <w:sz w:val="24"/>
          <w:szCs w:val="24"/>
          <w:lang w:val="ro-MD"/>
        </w:rPr>
        <w:t>t</w:t>
      </w:r>
      <w:r w:rsidRPr="00FC109D">
        <w:rPr>
          <w:rFonts w:ascii="Times New Roman" w:hAnsi="Times New Roman" w:cs="Times New Roman"/>
          <w:sz w:val="24"/>
          <w:szCs w:val="24"/>
          <w:lang w:val="ro-MD"/>
        </w:rPr>
        <w:t>;</w:t>
      </w:r>
    </w:p>
    <w:p w14:paraId="09DB6E59"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Dificultatea de a accesa PSA în perioada de vară din cauza concediilor;</w:t>
      </w:r>
    </w:p>
    <w:p w14:paraId="4224F384"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Valoarea cheltuielilor efectuate depășește suma prevăzută inițial etc.</w:t>
      </w:r>
    </w:p>
    <w:p w14:paraId="1E9ED598" w14:textId="77777777" w:rsidR="00C432A0" w:rsidRPr="00FC109D" w:rsidRDefault="00C432A0" w:rsidP="00C432A0">
      <w:pPr>
        <w:spacing w:line="276" w:lineRule="auto"/>
        <w:jc w:val="both"/>
        <w:rPr>
          <w:rFonts w:ascii="Times New Roman" w:hAnsi="Times New Roman" w:cs="Times New Roman"/>
          <w:b/>
          <w:i/>
          <w:sz w:val="24"/>
          <w:szCs w:val="24"/>
          <w:u w:val="single"/>
          <w:lang w:val="ro-MD"/>
        </w:rPr>
      </w:pPr>
    </w:p>
    <w:p w14:paraId="4E74EE93" w14:textId="77777777" w:rsidR="00C432A0" w:rsidRPr="00FC109D" w:rsidRDefault="00C432A0" w:rsidP="00C432A0">
      <w:pPr>
        <w:rPr>
          <w:rFonts w:ascii="Times New Roman" w:hAnsi="Times New Roman" w:cs="Times New Roman"/>
          <w:b/>
          <w:i/>
          <w:sz w:val="24"/>
          <w:szCs w:val="24"/>
          <w:u w:val="single"/>
          <w:lang w:val="ro-MD"/>
        </w:rPr>
      </w:pPr>
      <w:r w:rsidRPr="00FC109D">
        <w:rPr>
          <w:rFonts w:ascii="Times New Roman" w:hAnsi="Times New Roman" w:cs="Times New Roman"/>
          <w:b/>
          <w:i/>
          <w:sz w:val="24"/>
          <w:szCs w:val="24"/>
          <w:u w:val="single"/>
          <w:lang w:val="ro-MD"/>
        </w:rPr>
        <w:br w:type="page"/>
      </w:r>
    </w:p>
    <w:p w14:paraId="76F16CBE" w14:textId="77777777" w:rsidR="00C432A0" w:rsidRPr="00FC109D" w:rsidRDefault="00C432A0" w:rsidP="00C432A0">
      <w:pPr>
        <w:spacing w:line="276" w:lineRule="auto"/>
        <w:jc w:val="both"/>
        <w:rPr>
          <w:rFonts w:ascii="Times New Roman" w:hAnsi="Times New Roman" w:cs="Times New Roman"/>
          <w:b/>
          <w:i/>
          <w:sz w:val="24"/>
          <w:szCs w:val="24"/>
          <w:u w:val="single"/>
          <w:lang w:val="ro-MD"/>
        </w:rPr>
      </w:pPr>
      <w:r w:rsidRPr="00FC109D">
        <w:rPr>
          <w:rFonts w:ascii="Times New Roman" w:hAnsi="Times New Roman" w:cs="Times New Roman"/>
          <w:b/>
          <w:i/>
          <w:sz w:val="24"/>
          <w:szCs w:val="24"/>
          <w:u w:val="single"/>
          <w:lang w:val="ro-MD"/>
        </w:rPr>
        <w:lastRenderedPageBreak/>
        <w:t xml:space="preserve">Activitatea de  Promovare și Comunicare </w:t>
      </w:r>
    </w:p>
    <w:p w14:paraId="26E5B215" w14:textId="04CFADBF"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xml:space="preserve">Pe parcursul perioadei iunie-septembrie 2016, echipa MGF a distribuit materiale promoționale la 15 seminare organizate de MIEPO, ODIMM, incubatoarele de afaceri, </w:t>
      </w:r>
      <w:r w:rsidR="009C70CF">
        <w:rPr>
          <w:rFonts w:ascii="Times New Roman" w:hAnsi="Times New Roman" w:cs="Times New Roman"/>
          <w:sz w:val="24"/>
          <w:szCs w:val="24"/>
          <w:lang w:val="ro-MD"/>
        </w:rPr>
        <w:t>C</w:t>
      </w:r>
      <w:r w:rsidRPr="00FC109D">
        <w:rPr>
          <w:rFonts w:ascii="Times New Roman" w:hAnsi="Times New Roman" w:cs="Times New Roman"/>
          <w:sz w:val="24"/>
          <w:szCs w:val="24"/>
          <w:lang w:val="ro-MD"/>
        </w:rPr>
        <w:t xml:space="preserve">amere de comerț, asociații de afaceri. În aceeași perioadă, UIPAC a organizat 3 evenimente, 1 seminar de informare la Ocnița și 2 </w:t>
      </w:r>
      <w:proofErr w:type="spellStart"/>
      <w:r w:rsidRPr="00FC109D">
        <w:rPr>
          <w:rFonts w:ascii="Times New Roman" w:hAnsi="Times New Roman" w:cs="Times New Roman"/>
          <w:sz w:val="24"/>
          <w:szCs w:val="24"/>
          <w:lang w:val="ro-MD"/>
        </w:rPr>
        <w:t>Speed</w:t>
      </w:r>
      <w:proofErr w:type="spellEnd"/>
      <w:r w:rsidRPr="00FC109D">
        <w:rPr>
          <w:rFonts w:ascii="Times New Roman" w:hAnsi="Times New Roman" w:cs="Times New Roman"/>
          <w:sz w:val="24"/>
          <w:szCs w:val="24"/>
          <w:lang w:val="ro-MD"/>
        </w:rPr>
        <w:t xml:space="preserve"> ​​Business </w:t>
      </w:r>
      <w:proofErr w:type="spellStart"/>
      <w:r w:rsidRPr="00FC109D">
        <w:rPr>
          <w:rFonts w:ascii="Times New Roman" w:hAnsi="Times New Roman" w:cs="Times New Roman"/>
          <w:sz w:val="24"/>
          <w:szCs w:val="24"/>
          <w:lang w:val="ro-MD"/>
        </w:rPr>
        <w:t>Meetings</w:t>
      </w:r>
      <w:proofErr w:type="spellEnd"/>
      <w:r w:rsidRPr="00FC109D">
        <w:rPr>
          <w:rFonts w:ascii="Times New Roman" w:hAnsi="Times New Roman" w:cs="Times New Roman"/>
          <w:sz w:val="24"/>
          <w:szCs w:val="24"/>
          <w:lang w:val="ro-MD"/>
        </w:rPr>
        <w:t>, la care au participat peste 100 de persoane, atât consultanți, cât și IMM-uri. Evenimentele au fost promovate de către mai multe mijloace mass-media și, de asemenea, promovate pe rețelele de socializare.</w:t>
      </w:r>
    </w:p>
    <w:p w14:paraId="54ED893F"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În perioada menționată, au fost elaborate și distribuite 10 comunicate de presă care au fost publicate în mass-media din Moldova și România. Mai mult ca atât, au fost organizate vizite informative ale reprezentanților presei (</w:t>
      </w:r>
      <w:proofErr w:type="spellStart"/>
      <w:r w:rsidRPr="00FC109D">
        <w:rPr>
          <w:rFonts w:ascii="Times New Roman" w:hAnsi="Times New Roman" w:cs="Times New Roman"/>
          <w:sz w:val="24"/>
          <w:szCs w:val="24"/>
          <w:lang w:val="ro-MD"/>
        </w:rPr>
        <w:t>Benado</w:t>
      </w:r>
      <w:proofErr w:type="spellEnd"/>
      <w:r w:rsidRPr="00FC109D">
        <w:rPr>
          <w:rFonts w:ascii="Times New Roman" w:hAnsi="Times New Roman" w:cs="Times New Roman"/>
          <w:sz w:val="24"/>
          <w:szCs w:val="24"/>
          <w:lang w:val="ro-MD"/>
        </w:rPr>
        <w:t xml:space="preserve"> Prim, </w:t>
      </w:r>
      <w:proofErr w:type="spellStart"/>
      <w:r w:rsidRPr="00FC109D">
        <w:rPr>
          <w:rFonts w:ascii="Times New Roman" w:hAnsi="Times New Roman" w:cs="Times New Roman"/>
          <w:sz w:val="24"/>
          <w:szCs w:val="24"/>
          <w:lang w:val="ro-MD"/>
        </w:rPr>
        <w:t>Prograin</w:t>
      </w:r>
      <w:proofErr w:type="spellEnd"/>
      <w:r w:rsidRPr="00FC109D">
        <w:rPr>
          <w:rFonts w:ascii="Times New Roman" w:hAnsi="Times New Roman" w:cs="Times New Roman"/>
          <w:sz w:val="24"/>
          <w:szCs w:val="24"/>
          <w:lang w:val="ro-MD"/>
        </w:rPr>
        <w:t xml:space="preserve"> Organic, Lumea filtrelor, Mărculești Combi, </w:t>
      </w:r>
      <w:proofErr w:type="spellStart"/>
      <w:r w:rsidRPr="00FC109D">
        <w:rPr>
          <w:rFonts w:ascii="Times New Roman" w:hAnsi="Times New Roman" w:cs="Times New Roman"/>
          <w:sz w:val="24"/>
          <w:szCs w:val="24"/>
          <w:lang w:val="ro-MD"/>
        </w:rPr>
        <w:t>Milabrega</w:t>
      </w:r>
      <w:proofErr w:type="spellEnd"/>
      <w:r w:rsidRPr="00FC109D">
        <w:rPr>
          <w:rFonts w:ascii="Times New Roman" w:hAnsi="Times New Roman" w:cs="Times New Roman"/>
          <w:sz w:val="24"/>
          <w:szCs w:val="24"/>
          <w:lang w:val="ro-MD"/>
        </w:rPr>
        <w:t xml:space="preserve">, </w:t>
      </w:r>
      <w:proofErr w:type="spellStart"/>
      <w:r w:rsidRPr="00FC109D">
        <w:rPr>
          <w:rFonts w:ascii="Times New Roman" w:hAnsi="Times New Roman" w:cs="Times New Roman"/>
          <w:sz w:val="24"/>
          <w:szCs w:val="24"/>
          <w:lang w:val="ro-MD"/>
        </w:rPr>
        <w:t>Fruitmol</w:t>
      </w:r>
      <w:proofErr w:type="spellEnd"/>
      <w:r w:rsidRPr="00FC109D">
        <w:rPr>
          <w:rFonts w:ascii="Times New Roman" w:hAnsi="Times New Roman" w:cs="Times New Roman"/>
          <w:sz w:val="24"/>
          <w:szCs w:val="24"/>
          <w:lang w:val="ro-MD"/>
        </w:rPr>
        <w:t>, Impex Business Group).</w:t>
      </w:r>
    </w:p>
    <w:p w14:paraId="37B729E0" w14:textId="56C32FA6"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 xml:space="preserve">În același timp, 4 articole au fost elaborate și publicate în Agora, Business </w:t>
      </w:r>
      <w:proofErr w:type="spellStart"/>
      <w:r w:rsidRPr="00FC109D">
        <w:rPr>
          <w:rFonts w:ascii="Times New Roman" w:hAnsi="Times New Roman" w:cs="Times New Roman"/>
          <w:sz w:val="24"/>
          <w:szCs w:val="24"/>
          <w:lang w:val="ro-MD"/>
        </w:rPr>
        <w:t>Class</w:t>
      </w:r>
      <w:proofErr w:type="spellEnd"/>
      <w:r w:rsidRPr="00FC109D">
        <w:rPr>
          <w:rFonts w:ascii="Times New Roman" w:hAnsi="Times New Roman" w:cs="Times New Roman"/>
          <w:sz w:val="24"/>
          <w:szCs w:val="24"/>
          <w:lang w:val="ro-MD"/>
        </w:rPr>
        <w:t xml:space="preserve">, </w:t>
      </w:r>
      <w:proofErr w:type="spellStart"/>
      <w:r w:rsidR="009C70CF">
        <w:rPr>
          <w:rFonts w:ascii="Times New Roman" w:hAnsi="Times New Roman" w:cs="Times New Roman"/>
          <w:sz w:val="24"/>
          <w:szCs w:val="24"/>
          <w:lang w:val="ro-MD"/>
        </w:rPr>
        <w:t>ECO</w:t>
      </w:r>
      <w:r w:rsidR="009C70CF" w:rsidRPr="00FC109D">
        <w:rPr>
          <w:rFonts w:ascii="Times New Roman" w:hAnsi="Times New Roman" w:cs="Times New Roman"/>
          <w:sz w:val="24"/>
          <w:szCs w:val="24"/>
          <w:lang w:val="ro-MD"/>
        </w:rPr>
        <w:t>nomist</w:t>
      </w:r>
      <w:proofErr w:type="spellEnd"/>
      <w:r w:rsidRPr="00FC109D">
        <w:rPr>
          <w:rFonts w:ascii="Times New Roman" w:hAnsi="Times New Roman" w:cs="Times New Roman"/>
          <w:sz w:val="24"/>
          <w:szCs w:val="24"/>
          <w:lang w:val="ro-MD"/>
        </w:rPr>
        <w:t xml:space="preserve">, </w:t>
      </w:r>
      <w:proofErr w:type="spellStart"/>
      <w:r w:rsidRPr="00FC109D">
        <w:rPr>
          <w:rFonts w:ascii="Times New Roman" w:hAnsi="Times New Roman" w:cs="Times New Roman"/>
          <w:sz w:val="24"/>
          <w:szCs w:val="24"/>
          <w:lang w:val="ro-MD"/>
        </w:rPr>
        <w:t>Unimedia</w:t>
      </w:r>
      <w:proofErr w:type="spellEnd"/>
      <w:r w:rsidRPr="00FC109D">
        <w:rPr>
          <w:rFonts w:ascii="Times New Roman" w:hAnsi="Times New Roman" w:cs="Times New Roman"/>
          <w:sz w:val="24"/>
          <w:szCs w:val="24"/>
          <w:lang w:val="ro-MD"/>
        </w:rPr>
        <w:t>, precum și diverse articole de publicitate au fost publicate în presa scrisă - Timpul (</w:t>
      </w:r>
      <w:proofErr w:type="spellStart"/>
      <w:r w:rsidRPr="00FC109D">
        <w:rPr>
          <w:rFonts w:ascii="Times New Roman" w:hAnsi="Times New Roman" w:cs="Times New Roman"/>
          <w:sz w:val="24"/>
          <w:szCs w:val="24"/>
          <w:lang w:val="ro-MD"/>
        </w:rPr>
        <w:t>Ro</w:t>
      </w:r>
      <w:proofErr w:type="spellEnd"/>
      <w:r w:rsidRPr="00FC109D">
        <w:rPr>
          <w:rFonts w:ascii="Times New Roman" w:hAnsi="Times New Roman" w:cs="Times New Roman"/>
          <w:sz w:val="24"/>
          <w:szCs w:val="24"/>
          <w:lang w:val="ro-MD"/>
        </w:rPr>
        <w:t xml:space="preserve">) și Business </w:t>
      </w:r>
      <w:proofErr w:type="spellStart"/>
      <w:r w:rsidRPr="00FC109D">
        <w:rPr>
          <w:rFonts w:ascii="Times New Roman" w:hAnsi="Times New Roman" w:cs="Times New Roman"/>
          <w:sz w:val="24"/>
          <w:szCs w:val="24"/>
          <w:lang w:val="ro-MD"/>
        </w:rPr>
        <w:t>Class</w:t>
      </w:r>
      <w:proofErr w:type="spellEnd"/>
      <w:r w:rsidRPr="00FC109D">
        <w:rPr>
          <w:rFonts w:ascii="Times New Roman" w:hAnsi="Times New Roman" w:cs="Times New Roman"/>
          <w:sz w:val="24"/>
          <w:szCs w:val="24"/>
          <w:lang w:val="ro-MD"/>
        </w:rPr>
        <w:t xml:space="preserve"> (Ru). Un banner web a fost publicat pe MyBusiness.md și Infomarket.md, care a fost </w:t>
      </w:r>
      <w:r w:rsidR="00554372">
        <w:rPr>
          <w:rFonts w:ascii="Times New Roman" w:hAnsi="Times New Roman" w:cs="Times New Roman"/>
          <w:sz w:val="24"/>
          <w:szCs w:val="24"/>
          <w:lang w:val="ro-MD"/>
        </w:rPr>
        <w:t>vizualizat</w:t>
      </w:r>
      <w:r w:rsidR="00554372" w:rsidRPr="00FC109D">
        <w:rPr>
          <w:rFonts w:ascii="Times New Roman" w:hAnsi="Times New Roman" w:cs="Times New Roman"/>
          <w:sz w:val="24"/>
          <w:szCs w:val="24"/>
          <w:lang w:val="ro-MD"/>
        </w:rPr>
        <w:t xml:space="preserve"> </w:t>
      </w:r>
      <w:r w:rsidRPr="00FC109D">
        <w:rPr>
          <w:rFonts w:ascii="Times New Roman" w:hAnsi="Times New Roman" w:cs="Times New Roman"/>
          <w:sz w:val="24"/>
          <w:szCs w:val="24"/>
          <w:lang w:val="ro-MD"/>
        </w:rPr>
        <w:t>de 360000 persoane. În septembrie, spotul publicitar a fost difuzat la trei  posturi TV - Pro Tv, Moldova 1, Realitatea TV.</w:t>
      </w:r>
    </w:p>
    <w:p w14:paraId="08CE571C" w14:textId="77777777" w:rsidR="00C432A0" w:rsidRPr="00FC109D" w:rsidRDefault="00C432A0" w:rsidP="00C432A0">
      <w:pPr>
        <w:spacing w:line="276" w:lineRule="auto"/>
        <w:jc w:val="both"/>
        <w:rPr>
          <w:rFonts w:ascii="Times New Roman" w:hAnsi="Times New Roman" w:cs="Times New Roman"/>
          <w:b/>
          <w:i/>
          <w:sz w:val="24"/>
          <w:szCs w:val="24"/>
          <w:u w:val="single"/>
          <w:lang w:val="ro-MD"/>
        </w:rPr>
      </w:pPr>
      <w:r w:rsidRPr="00FC109D">
        <w:rPr>
          <w:rFonts w:ascii="Times New Roman" w:hAnsi="Times New Roman" w:cs="Times New Roman"/>
          <w:b/>
          <w:i/>
          <w:sz w:val="24"/>
          <w:szCs w:val="24"/>
          <w:u w:val="single"/>
          <w:lang w:val="ro-MD"/>
        </w:rPr>
        <w:t>Social-media</w:t>
      </w:r>
    </w:p>
    <w:p w14:paraId="6EF093C0"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sz w:val="24"/>
          <w:szCs w:val="24"/>
          <w:lang w:val="ro-MD"/>
        </w:rPr>
        <w:t>În perioada 1 iulie - 30 septembrie 2016, numărul de "</w:t>
      </w:r>
      <w:proofErr w:type="spellStart"/>
      <w:r w:rsidRPr="00FC109D">
        <w:rPr>
          <w:rFonts w:ascii="Times New Roman" w:hAnsi="Times New Roman" w:cs="Times New Roman"/>
          <w:sz w:val="24"/>
          <w:szCs w:val="24"/>
          <w:lang w:val="ro-MD"/>
        </w:rPr>
        <w:t>like</w:t>
      </w:r>
      <w:proofErr w:type="spellEnd"/>
      <w:r w:rsidRPr="00FC109D">
        <w:rPr>
          <w:rFonts w:ascii="Times New Roman" w:hAnsi="Times New Roman" w:cs="Times New Roman"/>
          <w:sz w:val="24"/>
          <w:szCs w:val="24"/>
          <w:lang w:val="ro-MD"/>
        </w:rPr>
        <w:t>-uri" de pe pagina de Facebook a proiectului CEP II s-a dublat, ajungând la 1130 de persoane.</w:t>
      </w:r>
    </w:p>
    <w:p w14:paraId="1E613100" w14:textId="77777777" w:rsidR="00C432A0" w:rsidRPr="00FC109D" w:rsidRDefault="00C432A0" w:rsidP="00C432A0">
      <w:pPr>
        <w:spacing w:line="276" w:lineRule="auto"/>
        <w:jc w:val="both"/>
        <w:rPr>
          <w:rFonts w:ascii="Times New Roman" w:hAnsi="Times New Roman" w:cs="Times New Roman"/>
          <w:sz w:val="24"/>
          <w:szCs w:val="24"/>
          <w:lang w:val="ro-MD"/>
        </w:rPr>
      </w:pPr>
      <w:r w:rsidRPr="00FC109D">
        <w:rPr>
          <w:rFonts w:ascii="Times New Roman" w:hAnsi="Times New Roman" w:cs="Times New Roman"/>
          <w:noProof/>
          <w:sz w:val="24"/>
          <w:szCs w:val="24"/>
          <w:lang w:eastAsia="ro-RO"/>
        </w:rPr>
        <w:drawing>
          <wp:inline distT="0" distB="0" distL="0" distR="0" wp14:anchorId="47B19102" wp14:editId="0214E10F">
            <wp:extent cx="5760720" cy="2707143"/>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23267" t="33941" r="26411" b="33713"/>
                    <a:stretch>
                      <a:fillRect/>
                    </a:stretch>
                  </pic:blipFill>
                  <pic:spPr bwMode="auto">
                    <a:xfrm>
                      <a:off x="0" y="0"/>
                      <a:ext cx="5760720" cy="2707143"/>
                    </a:xfrm>
                    <a:prstGeom prst="rect">
                      <a:avLst/>
                    </a:prstGeom>
                    <a:noFill/>
                    <a:ln w="9525">
                      <a:noFill/>
                      <a:miter lim="800000"/>
                      <a:headEnd/>
                      <a:tailEnd/>
                    </a:ln>
                  </pic:spPr>
                </pic:pic>
              </a:graphicData>
            </a:graphic>
          </wp:inline>
        </w:drawing>
      </w:r>
    </w:p>
    <w:p w14:paraId="11A19768" w14:textId="77777777" w:rsidR="00C432A0" w:rsidRPr="00FC109D" w:rsidRDefault="00C432A0" w:rsidP="00C432A0">
      <w:pPr>
        <w:spacing w:line="276" w:lineRule="auto"/>
        <w:jc w:val="both"/>
        <w:rPr>
          <w:rFonts w:ascii="Times New Roman" w:hAnsi="Times New Roman" w:cs="Times New Roman"/>
          <w:sz w:val="24"/>
          <w:szCs w:val="24"/>
          <w:lang w:val="ro-MD"/>
        </w:rPr>
      </w:pPr>
    </w:p>
    <w:p w14:paraId="1F3C2888" w14:textId="1E17EBE0" w:rsidR="00C432A0" w:rsidRPr="00FC109D" w:rsidRDefault="00C432A0" w:rsidP="00C432A0">
      <w:pPr>
        <w:spacing w:line="276" w:lineRule="auto"/>
        <w:jc w:val="both"/>
        <w:rPr>
          <w:rFonts w:ascii="Times New Roman" w:hAnsi="Times New Roman" w:cs="Times New Roman"/>
          <w:sz w:val="24"/>
          <w:szCs w:val="24"/>
          <w:lang w:val="ro-MD"/>
        </w:rPr>
        <w:sectPr w:rsidR="00C432A0" w:rsidRPr="00FC109D" w:rsidSect="00C432A0">
          <w:pgSz w:w="11906" w:h="16838"/>
          <w:pgMar w:top="993" w:right="1417" w:bottom="1417" w:left="1417" w:header="708" w:footer="708" w:gutter="0"/>
          <w:cols w:space="708"/>
          <w:docGrid w:linePitch="360"/>
        </w:sectPr>
      </w:pPr>
      <w:r w:rsidRPr="00FC109D">
        <w:rPr>
          <w:rFonts w:ascii="Times New Roman" w:hAnsi="Times New Roman" w:cs="Times New Roman"/>
          <w:sz w:val="24"/>
          <w:szCs w:val="24"/>
          <w:lang w:val="ro-MD"/>
        </w:rPr>
        <w:t>Este de menționat faptul că raportul de gen menține aceeași tendință: 62% femei față de 37% bărbați. Repartiția geografică a fanilor rămâne constant dom</w:t>
      </w:r>
      <w:bookmarkStart w:id="0" w:name="_GoBack"/>
      <w:bookmarkEnd w:id="0"/>
      <w:r w:rsidRPr="00FC109D">
        <w:rPr>
          <w:rFonts w:ascii="Times New Roman" w:hAnsi="Times New Roman" w:cs="Times New Roman"/>
          <w:sz w:val="24"/>
          <w:szCs w:val="24"/>
          <w:lang w:val="ro-MD"/>
        </w:rPr>
        <w:t xml:space="preserve">inată de fanii din Moldova. </w:t>
      </w:r>
    </w:p>
    <w:p w14:paraId="6D002535" w14:textId="77777777" w:rsidR="00AB7FAC" w:rsidRPr="00FC109D" w:rsidRDefault="00AB7FAC" w:rsidP="00211411">
      <w:pPr>
        <w:spacing w:after="0" w:line="276" w:lineRule="auto"/>
        <w:jc w:val="center"/>
        <w:rPr>
          <w:rFonts w:ascii="Times New Roman" w:hAnsi="Times New Roman" w:cs="Times New Roman"/>
          <w:lang w:val="ro-MD"/>
        </w:rPr>
      </w:pPr>
    </w:p>
    <w:sectPr w:rsidR="00AB7FAC" w:rsidRPr="00FC109D" w:rsidSect="00C432A0">
      <w:footerReference w:type="default" r:id="rId19"/>
      <w:pgSz w:w="16838" w:h="11906" w:orient="landscape"/>
      <w:pgMar w:top="1134" w:right="851" w:bottom="56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8F4B" w14:textId="77777777" w:rsidR="00A50276" w:rsidRDefault="00A50276" w:rsidP="001D1A09">
      <w:pPr>
        <w:spacing w:after="0" w:line="240" w:lineRule="auto"/>
      </w:pPr>
      <w:r>
        <w:separator/>
      </w:r>
    </w:p>
  </w:endnote>
  <w:endnote w:type="continuationSeparator" w:id="0">
    <w:p w14:paraId="1825B017" w14:textId="77777777" w:rsidR="00A50276" w:rsidRDefault="00A50276" w:rsidP="001D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999129"/>
      <w:docPartObj>
        <w:docPartGallery w:val="Page Numbers (Bottom of Page)"/>
        <w:docPartUnique/>
      </w:docPartObj>
    </w:sdtPr>
    <w:sdtEndPr>
      <w:rPr>
        <w:noProof/>
      </w:rPr>
    </w:sdtEndPr>
    <w:sdtContent>
      <w:p w14:paraId="26D4C259" w14:textId="2031C2E1" w:rsidR="00C10231" w:rsidRDefault="00C10231">
        <w:pPr>
          <w:pStyle w:val="Footer"/>
          <w:jc w:val="center"/>
        </w:pPr>
        <w:r>
          <w:fldChar w:fldCharType="begin"/>
        </w:r>
        <w:r>
          <w:instrText xml:space="preserve"> PAGE   \* MERGEFORMAT </w:instrText>
        </w:r>
        <w:r>
          <w:fldChar w:fldCharType="separate"/>
        </w:r>
        <w:r w:rsidR="00211411">
          <w:rPr>
            <w:noProof/>
          </w:rPr>
          <w:t>13</w:t>
        </w:r>
        <w:r>
          <w:rPr>
            <w:noProof/>
          </w:rPr>
          <w:fldChar w:fldCharType="end"/>
        </w:r>
      </w:p>
    </w:sdtContent>
  </w:sdt>
  <w:p w14:paraId="5617304F" w14:textId="77777777" w:rsidR="00C10231" w:rsidRDefault="00C10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0A2B3" w14:textId="77777777" w:rsidR="00A50276" w:rsidRDefault="00A50276" w:rsidP="001D1A09">
      <w:pPr>
        <w:spacing w:after="0" w:line="240" w:lineRule="auto"/>
      </w:pPr>
      <w:r>
        <w:separator/>
      </w:r>
    </w:p>
  </w:footnote>
  <w:footnote w:type="continuationSeparator" w:id="0">
    <w:p w14:paraId="73794909" w14:textId="77777777" w:rsidR="00A50276" w:rsidRDefault="00A50276" w:rsidP="001D1A09">
      <w:pPr>
        <w:spacing w:after="0" w:line="240" w:lineRule="auto"/>
      </w:pPr>
      <w:r>
        <w:continuationSeparator/>
      </w:r>
    </w:p>
  </w:footnote>
  <w:footnote w:id="1">
    <w:p w14:paraId="760A9C11" w14:textId="0FBC981B" w:rsidR="00C10231" w:rsidRDefault="00C10231" w:rsidP="00C432A0">
      <w:pPr>
        <w:pStyle w:val="FootnoteText"/>
      </w:pPr>
      <w:r>
        <w:rPr>
          <w:rStyle w:val="FootnoteReference"/>
        </w:rPr>
        <w:footnoteRef/>
      </w:r>
      <w:r>
        <w:t xml:space="preserve"> În acest sens, o versiune revizuită a Manualului Operațional MGF a fost elaborată și aprobată în februarie 2016, în corespundere cu care, numărul angajaților este considerat drept principalul criteriu de eligibilitate a IMM-urilor. Ca rezultat, una din întreprinderile respinse a reaplicat  și a fost aprobată spre finanțare.</w:t>
      </w:r>
    </w:p>
  </w:footnote>
  <w:footnote w:id="2">
    <w:p w14:paraId="10122B0C" w14:textId="77777777" w:rsidR="00C10231" w:rsidRPr="00CA1CE5" w:rsidRDefault="00C10231" w:rsidP="00C432A0">
      <w:pPr>
        <w:pStyle w:val="FootnoteText"/>
      </w:pPr>
      <w:r>
        <w:rPr>
          <w:rStyle w:val="FootnoteReference"/>
        </w:rPr>
        <w:footnoteRef/>
      </w:r>
      <w:r>
        <w:t xml:space="preserve"> </w:t>
      </w:r>
      <w:r>
        <w:t>În conformitate cu Legea Nr. 206-XVI (2006), principalul criteriu de clasificare a IMM este numărul de angajați: Micro:</w:t>
      </w:r>
      <w:r>
        <w:rPr>
          <w:lang w:val="en-US"/>
        </w:rPr>
        <w:t>&lt;</w:t>
      </w:r>
      <w:r>
        <w:t>10 angajați, Mică</w:t>
      </w:r>
      <w:r>
        <w:rPr>
          <w:lang w:val="en-US"/>
        </w:rPr>
        <w:t xml:space="preserve">&lt;50 </w:t>
      </w:r>
      <w:proofErr w:type="spellStart"/>
      <w:r>
        <w:rPr>
          <w:lang w:val="en-US"/>
        </w:rPr>
        <w:t>angaja</w:t>
      </w:r>
      <w:proofErr w:type="spellEnd"/>
      <w:r>
        <w:t>ți; Medie</w:t>
      </w:r>
      <w:r>
        <w:rPr>
          <w:lang w:val="en-US"/>
        </w:rPr>
        <w:t>&lt;</w:t>
      </w:r>
      <w:r>
        <w:t>250 angajați.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B4FD1"/>
    <w:multiLevelType w:val="hybridMultilevel"/>
    <w:tmpl w:val="C08E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8508B"/>
    <w:multiLevelType w:val="hybridMultilevel"/>
    <w:tmpl w:val="D482FB12"/>
    <w:lvl w:ilvl="0" w:tplc="5D8C338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B856BCB"/>
    <w:multiLevelType w:val="hybridMultilevel"/>
    <w:tmpl w:val="625A7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A2237C"/>
    <w:multiLevelType w:val="hybridMultilevel"/>
    <w:tmpl w:val="150E42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74"/>
    <w:rsid w:val="000024DF"/>
    <w:rsid w:val="00070A10"/>
    <w:rsid w:val="000A6EB2"/>
    <w:rsid w:val="00103B74"/>
    <w:rsid w:val="00151A45"/>
    <w:rsid w:val="00154BB0"/>
    <w:rsid w:val="001A6FD2"/>
    <w:rsid w:val="001C6302"/>
    <w:rsid w:val="001D1A09"/>
    <w:rsid w:val="00211411"/>
    <w:rsid w:val="00211E24"/>
    <w:rsid w:val="002201F0"/>
    <w:rsid w:val="00231129"/>
    <w:rsid w:val="00237B76"/>
    <w:rsid w:val="00266793"/>
    <w:rsid w:val="00272782"/>
    <w:rsid w:val="002737FF"/>
    <w:rsid w:val="002B79BD"/>
    <w:rsid w:val="002C124D"/>
    <w:rsid w:val="002C7C89"/>
    <w:rsid w:val="00314D50"/>
    <w:rsid w:val="00337C42"/>
    <w:rsid w:val="00355A50"/>
    <w:rsid w:val="00392014"/>
    <w:rsid w:val="003B5A1E"/>
    <w:rsid w:val="00401E3E"/>
    <w:rsid w:val="0040601F"/>
    <w:rsid w:val="00410B2C"/>
    <w:rsid w:val="00434DE1"/>
    <w:rsid w:val="004405DF"/>
    <w:rsid w:val="00480197"/>
    <w:rsid w:val="004802C6"/>
    <w:rsid w:val="004B5128"/>
    <w:rsid w:val="004E11DB"/>
    <w:rsid w:val="004F3910"/>
    <w:rsid w:val="00524E0E"/>
    <w:rsid w:val="00533CFC"/>
    <w:rsid w:val="00554372"/>
    <w:rsid w:val="005B057C"/>
    <w:rsid w:val="005C7590"/>
    <w:rsid w:val="005E51DB"/>
    <w:rsid w:val="005E6A42"/>
    <w:rsid w:val="005F6DC9"/>
    <w:rsid w:val="00637633"/>
    <w:rsid w:val="00662C3E"/>
    <w:rsid w:val="006D1F56"/>
    <w:rsid w:val="006F5EE4"/>
    <w:rsid w:val="00724DAD"/>
    <w:rsid w:val="0073066B"/>
    <w:rsid w:val="00736757"/>
    <w:rsid w:val="00774EDA"/>
    <w:rsid w:val="00781248"/>
    <w:rsid w:val="007C319F"/>
    <w:rsid w:val="007E011C"/>
    <w:rsid w:val="00805690"/>
    <w:rsid w:val="00831F39"/>
    <w:rsid w:val="00832361"/>
    <w:rsid w:val="00843F08"/>
    <w:rsid w:val="008577A8"/>
    <w:rsid w:val="00860B8E"/>
    <w:rsid w:val="0089048F"/>
    <w:rsid w:val="008A2E66"/>
    <w:rsid w:val="008B4086"/>
    <w:rsid w:val="008C583D"/>
    <w:rsid w:val="008F08F4"/>
    <w:rsid w:val="00961577"/>
    <w:rsid w:val="00961B80"/>
    <w:rsid w:val="009A3AF1"/>
    <w:rsid w:val="009A44EE"/>
    <w:rsid w:val="009C70CF"/>
    <w:rsid w:val="009D38A4"/>
    <w:rsid w:val="009D6056"/>
    <w:rsid w:val="009D65CC"/>
    <w:rsid w:val="009E616B"/>
    <w:rsid w:val="009F423A"/>
    <w:rsid w:val="00A35BB6"/>
    <w:rsid w:val="00A50276"/>
    <w:rsid w:val="00A56AFC"/>
    <w:rsid w:val="00AA0173"/>
    <w:rsid w:val="00AA4AE3"/>
    <w:rsid w:val="00AB7FAC"/>
    <w:rsid w:val="00AC3A0B"/>
    <w:rsid w:val="00B0175F"/>
    <w:rsid w:val="00BC5687"/>
    <w:rsid w:val="00C10231"/>
    <w:rsid w:val="00C1536C"/>
    <w:rsid w:val="00C37E61"/>
    <w:rsid w:val="00C432A0"/>
    <w:rsid w:val="00C64149"/>
    <w:rsid w:val="00CC19B7"/>
    <w:rsid w:val="00CC50E1"/>
    <w:rsid w:val="00CC762A"/>
    <w:rsid w:val="00CD0ED1"/>
    <w:rsid w:val="00CE38F4"/>
    <w:rsid w:val="00D172AE"/>
    <w:rsid w:val="00D1746F"/>
    <w:rsid w:val="00D50F18"/>
    <w:rsid w:val="00D664B9"/>
    <w:rsid w:val="00D80763"/>
    <w:rsid w:val="00DF439C"/>
    <w:rsid w:val="00DF5BF9"/>
    <w:rsid w:val="00E01B50"/>
    <w:rsid w:val="00E14ABA"/>
    <w:rsid w:val="00E5064C"/>
    <w:rsid w:val="00E62236"/>
    <w:rsid w:val="00EA6923"/>
    <w:rsid w:val="00EB614A"/>
    <w:rsid w:val="00EC5974"/>
    <w:rsid w:val="00EC76DC"/>
    <w:rsid w:val="00EF5405"/>
    <w:rsid w:val="00F225E9"/>
    <w:rsid w:val="00F323A9"/>
    <w:rsid w:val="00F51FA2"/>
    <w:rsid w:val="00F531B2"/>
    <w:rsid w:val="00F74963"/>
    <w:rsid w:val="00F976E1"/>
    <w:rsid w:val="00FA6B77"/>
    <w:rsid w:val="00FB11F5"/>
    <w:rsid w:val="00FB6484"/>
    <w:rsid w:val="00FC109D"/>
    <w:rsid w:val="00FC63C4"/>
    <w:rsid w:val="00FF0E41"/>
    <w:rsid w:val="00FF7A0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97F3B"/>
  <w15:docId w15:val="{7CED6492-EEFA-4684-A153-B289409C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B8E"/>
    <w:pPr>
      <w:ind w:left="720"/>
      <w:contextualSpacing/>
    </w:pPr>
  </w:style>
  <w:style w:type="paragraph" w:styleId="Header">
    <w:name w:val="header"/>
    <w:basedOn w:val="Normal"/>
    <w:link w:val="HeaderChar"/>
    <w:uiPriority w:val="99"/>
    <w:unhideWhenUsed/>
    <w:rsid w:val="001D1A09"/>
    <w:pPr>
      <w:tabs>
        <w:tab w:val="center" w:pos="4844"/>
        <w:tab w:val="right" w:pos="9689"/>
      </w:tabs>
      <w:spacing w:after="0" w:line="240" w:lineRule="auto"/>
    </w:pPr>
  </w:style>
  <w:style w:type="character" w:customStyle="1" w:styleId="HeaderChar">
    <w:name w:val="Header Char"/>
    <w:basedOn w:val="DefaultParagraphFont"/>
    <w:link w:val="Header"/>
    <w:uiPriority w:val="99"/>
    <w:rsid w:val="001D1A09"/>
  </w:style>
  <w:style w:type="paragraph" w:styleId="Footer">
    <w:name w:val="footer"/>
    <w:basedOn w:val="Normal"/>
    <w:link w:val="FooterChar"/>
    <w:uiPriority w:val="99"/>
    <w:unhideWhenUsed/>
    <w:rsid w:val="001D1A09"/>
    <w:pPr>
      <w:tabs>
        <w:tab w:val="center" w:pos="4844"/>
        <w:tab w:val="right" w:pos="9689"/>
      </w:tabs>
      <w:spacing w:after="0" w:line="240" w:lineRule="auto"/>
    </w:pPr>
  </w:style>
  <w:style w:type="character" w:customStyle="1" w:styleId="FooterChar">
    <w:name w:val="Footer Char"/>
    <w:basedOn w:val="DefaultParagraphFont"/>
    <w:link w:val="Footer"/>
    <w:uiPriority w:val="99"/>
    <w:rsid w:val="001D1A09"/>
  </w:style>
  <w:style w:type="paragraph" w:styleId="FootnoteText">
    <w:name w:val="footnote text"/>
    <w:basedOn w:val="Normal"/>
    <w:link w:val="FootnoteTextChar"/>
    <w:uiPriority w:val="99"/>
    <w:semiHidden/>
    <w:unhideWhenUsed/>
    <w:rsid w:val="00C43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2A0"/>
    <w:rPr>
      <w:sz w:val="20"/>
      <w:szCs w:val="20"/>
    </w:rPr>
  </w:style>
  <w:style w:type="paragraph" w:styleId="BalloonText">
    <w:name w:val="Balloon Text"/>
    <w:basedOn w:val="Normal"/>
    <w:link w:val="BalloonTextChar"/>
    <w:uiPriority w:val="99"/>
    <w:semiHidden/>
    <w:unhideWhenUsed/>
    <w:rsid w:val="00C4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A0"/>
    <w:rPr>
      <w:rFonts w:ascii="Tahoma" w:hAnsi="Tahoma" w:cs="Tahoma"/>
      <w:sz w:val="16"/>
      <w:szCs w:val="16"/>
    </w:rPr>
  </w:style>
  <w:style w:type="character" w:styleId="FootnoteReference">
    <w:name w:val="footnote reference"/>
    <w:basedOn w:val="DefaultParagraphFont"/>
    <w:uiPriority w:val="99"/>
    <w:semiHidden/>
    <w:unhideWhenUsed/>
    <w:rsid w:val="00C43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C1AE-5017-4AA8-BA75-388D0AFD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4022</Words>
  <Characters>23333</Characters>
  <Application>Microsoft Office Word</Application>
  <DocSecurity>0</DocSecurity>
  <Lines>194</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Furculita</dc:creator>
  <cp:lastModifiedBy>Operator</cp:lastModifiedBy>
  <cp:revision>3</cp:revision>
  <dcterms:created xsi:type="dcterms:W3CDTF">2016-11-02T09:44:00Z</dcterms:created>
  <dcterms:modified xsi:type="dcterms:W3CDTF">2016-11-02T10:30:00Z</dcterms:modified>
</cp:coreProperties>
</file>